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C1F3" w14:textId="2CECD8EF" w:rsidR="001F5CD5" w:rsidRPr="00A51D1A" w:rsidRDefault="001F5CD5" w:rsidP="001F5CD5">
      <w:pPr>
        <w:pStyle w:val="Reporttitle"/>
      </w:pPr>
      <w:r>
        <w:t>Principles for planning AM to FM conversions in regional licence areas</w:t>
      </w:r>
    </w:p>
    <w:p w14:paraId="0D347BC7" w14:textId="53132680" w:rsidR="001F5CD5" w:rsidRPr="00702EA1" w:rsidRDefault="004F1A39" w:rsidP="001F5CD5">
      <w:pPr>
        <w:pStyle w:val="Reportdate"/>
        <w:spacing w:after="720"/>
        <w:rPr>
          <w:rFonts w:cs="Arial"/>
        </w:rPr>
        <w:sectPr w:rsidR="001F5CD5" w:rsidRPr="00702EA1" w:rsidSect="005E250B">
          <w:headerReference w:type="default" r:id="rId8"/>
          <w:footerReference w:type="default" r:id="rId9"/>
          <w:headerReference w:type="first" r:id="rId10"/>
          <w:pgSz w:w="11906" w:h="16838" w:code="9"/>
          <w:pgMar w:top="3924" w:right="992" w:bottom="1440" w:left="1134" w:header="709" w:footer="454" w:gutter="0"/>
          <w:cols w:space="708"/>
          <w:docGrid w:linePitch="360"/>
        </w:sectPr>
      </w:pPr>
      <w:r w:rsidRPr="00AF6CAF">
        <w:t>september</w:t>
      </w:r>
      <w:r w:rsidR="001F5CD5" w:rsidRPr="00702EA1">
        <w:t xml:space="preserve"> 202</w:t>
      </w:r>
      <w:r w:rsidR="008F3D2D">
        <w:t>2</w:t>
      </w:r>
    </w:p>
    <w:p w14:paraId="5FAEA50F" w14:textId="77777777" w:rsidR="0005011A" w:rsidRPr="00F44F3A" w:rsidRDefault="0005011A" w:rsidP="00FC07B9">
      <w:pPr>
        <w:pStyle w:val="ACMACorporateAddressHeader"/>
      </w:pPr>
      <w:r w:rsidRPr="00F44F3A">
        <w:lastRenderedPageBreak/>
        <w:t>Canberra</w:t>
      </w:r>
    </w:p>
    <w:p w14:paraId="49FF14C7" w14:textId="77777777" w:rsidR="0005011A" w:rsidRPr="00FC07B9" w:rsidRDefault="0005011A" w:rsidP="00FC07B9">
      <w:pPr>
        <w:pStyle w:val="ACMACorporateAddresses"/>
      </w:pPr>
      <w:r w:rsidRPr="00FC07B9">
        <w:t xml:space="preserve">Red Building </w:t>
      </w:r>
      <w:r w:rsidRPr="00FC07B9">
        <w:br/>
        <w:t>Benjamin Offices</w:t>
      </w:r>
      <w:r w:rsidRPr="00FC07B9">
        <w:br/>
        <w:t xml:space="preserve">Chan Street </w:t>
      </w:r>
      <w:r w:rsidRPr="00FC07B9">
        <w:br/>
        <w:t>Belconnen ACT</w:t>
      </w:r>
    </w:p>
    <w:p w14:paraId="59CCF873" w14:textId="77777777" w:rsidR="0005011A" w:rsidRPr="00FC07B9" w:rsidRDefault="0005011A" w:rsidP="00FC07B9">
      <w:pPr>
        <w:pStyle w:val="ACMACorporateAddresses"/>
      </w:pPr>
      <w:r w:rsidRPr="00FC07B9">
        <w:t>PO Box 78</w:t>
      </w:r>
      <w:r w:rsidRPr="00FC07B9">
        <w:br/>
        <w:t>Belconnen ACT 2616</w:t>
      </w:r>
    </w:p>
    <w:p w14:paraId="27642BAC" w14:textId="77777777" w:rsidR="00FE1823" w:rsidRPr="00FC07B9" w:rsidRDefault="0005011A" w:rsidP="00FC07B9">
      <w:pPr>
        <w:pStyle w:val="ACMACorporateAddresses"/>
      </w:pPr>
      <w:r w:rsidRPr="00FC07B9">
        <w:t>T</w:t>
      </w:r>
      <w:r w:rsidR="00537604" w:rsidRPr="00FC07B9">
        <w:tab/>
      </w:r>
      <w:r w:rsidRPr="00FC07B9">
        <w:t>+61 2 6219 5555</w:t>
      </w:r>
      <w:r w:rsidRPr="00FC07B9">
        <w:br/>
        <w:t>F</w:t>
      </w:r>
      <w:r w:rsidR="00537604" w:rsidRPr="00FC07B9">
        <w:tab/>
      </w:r>
      <w:r w:rsidRPr="00FC07B9">
        <w:t>+61 2 6219 5353</w:t>
      </w:r>
    </w:p>
    <w:p w14:paraId="48EC1B6F" w14:textId="77777777" w:rsidR="0005011A" w:rsidRPr="00F44F3A" w:rsidRDefault="0005011A" w:rsidP="00FC07B9">
      <w:pPr>
        <w:pStyle w:val="ACMACorporateAddressHeader"/>
      </w:pPr>
      <w:r w:rsidRPr="00F44F3A">
        <w:t>Melbourne</w:t>
      </w:r>
    </w:p>
    <w:p w14:paraId="24E542C6" w14:textId="77777777" w:rsidR="0005011A" w:rsidRPr="00F44F3A" w:rsidRDefault="0005011A" w:rsidP="00FC07B9">
      <w:pPr>
        <w:pStyle w:val="ACMACorporateAddresses"/>
      </w:pPr>
      <w:r w:rsidRPr="00F44F3A">
        <w:t xml:space="preserve">Level 32 </w:t>
      </w:r>
      <w:r w:rsidRPr="00F44F3A">
        <w:br/>
        <w:t>Melbourne Central Tower</w:t>
      </w:r>
      <w:r w:rsidRPr="00F44F3A">
        <w:br/>
        <w:t xml:space="preserve">360 Elizabeth Street </w:t>
      </w:r>
      <w:r w:rsidR="008C10F4" w:rsidRPr="00F44F3A">
        <w:br/>
      </w:r>
      <w:r w:rsidRPr="00F44F3A">
        <w:t>Melbourne VIC</w:t>
      </w:r>
    </w:p>
    <w:p w14:paraId="0A3F6A6B" w14:textId="77777777" w:rsidR="0005011A" w:rsidRPr="00F44F3A" w:rsidRDefault="0005011A" w:rsidP="00FC07B9">
      <w:pPr>
        <w:pStyle w:val="ACMACorporateAddresses"/>
      </w:pPr>
      <w:r w:rsidRPr="00F44F3A">
        <w:t>PO Box 13112</w:t>
      </w:r>
      <w:r w:rsidRPr="00F44F3A">
        <w:br/>
        <w:t xml:space="preserve">Law Courts </w:t>
      </w:r>
      <w:r w:rsidRPr="00F44F3A">
        <w:br/>
        <w:t>Melbourne VIC 8010</w:t>
      </w:r>
    </w:p>
    <w:p w14:paraId="3DE23F19" w14:textId="77777777" w:rsidR="0005011A" w:rsidRPr="00F44F3A" w:rsidRDefault="0005011A" w:rsidP="00FC07B9">
      <w:pPr>
        <w:pStyle w:val="ACMACorporateAddresses"/>
      </w:pPr>
      <w:r w:rsidRPr="00F44F3A">
        <w:t>T</w:t>
      </w:r>
      <w:r w:rsidR="00140318" w:rsidRPr="00F44F3A">
        <w:tab/>
      </w:r>
      <w:r w:rsidRPr="00F44F3A">
        <w:t>+61 3 9963 6800</w:t>
      </w:r>
      <w:r w:rsidRPr="00F44F3A">
        <w:br/>
        <w:t>F</w:t>
      </w:r>
      <w:r w:rsidR="00140318" w:rsidRPr="00F44F3A">
        <w:tab/>
      </w:r>
      <w:r w:rsidRPr="00F44F3A">
        <w:t>+61 3 9963 6899</w:t>
      </w:r>
    </w:p>
    <w:p w14:paraId="2B9B6CB6" w14:textId="77777777" w:rsidR="0005011A" w:rsidRPr="00F44F3A" w:rsidRDefault="0005011A" w:rsidP="00FC07B9">
      <w:pPr>
        <w:pStyle w:val="ACMACorporateAddressHeader"/>
      </w:pPr>
      <w:r w:rsidRPr="00F44F3A">
        <w:t>Sydney</w:t>
      </w:r>
    </w:p>
    <w:p w14:paraId="04A658AA" w14:textId="77777777" w:rsidR="0005011A" w:rsidRPr="00F44F3A" w:rsidRDefault="0005011A" w:rsidP="00FC07B9">
      <w:pPr>
        <w:pStyle w:val="ACMACorporateAddresses"/>
      </w:pPr>
      <w:r w:rsidRPr="00F44F3A">
        <w:t xml:space="preserve">Level 5 </w:t>
      </w:r>
      <w:r w:rsidRPr="00F44F3A">
        <w:br/>
        <w:t>The Bay Centre</w:t>
      </w:r>
      <w:r w:rsidRPr="00F44F3A">
        <w:br/>
        <w:t xml:space="preserve">65 Pirrama Road </w:t>
      </w:r>
      <w:r w:rsidRPr="00F44F3A">
        <w:br/>
        <w:t>Pyrmont NSW</w:t>
      </w:r>
    </w:p>
    <w:p w14:paraId="7CA41D5D" w14:textId="77777777" w:rsidR="0005011A" w:rsidRPr="00F44F3A" w:rsidRDefault="0005011A" w:rsidP="00FC07B9">
      <w:pPr>
        <w:pStyle w:val="ACMACorporateAddresses"/>
      </w:pPr>
      <w:r w:rsidRPr="00F44F3A">
        <w:t>PO Box Q500</w:t>
      </w:r>
      <w:r w:rsidRPr="00F44F3A">
        <w:br/>
        <w:t xml:space="preserve">Queen Victoria Building </w:t>
      </w:r>
      <w:r w:rsidRPr="00F44F3A">
        <w:br/>
        <w:t>NSW 1230</w:t>
      </w:r>
    </w:p>
    <w:p w14:paraId="3F076E0C" w14:textId="77777777" w:rsidR="0005011A" w:rsidRPr="00F44F3A" w:rsidRDefault="0005011A" w:rsidP="00FC07B9">
      <w:pPr>
        <w:pStyle w:val="ACMACorporateAddresses"/>
      </w:pPr>
      <w:r w:rsidRPr="00F44F3A">
        <w:t>T</w:t>
      </w:r>
      <w:r w:rsidR="00140318" w:rsidRPr="00F44F3A">
        <w:tab/>
      </w:r>
      <w:r w:rsidRPr="00F44F3A">
        <w:t>+61 2 9334 7700</w:t>
      </w:r>
      <w:r w:rsidR="00140318" w:rsidRPr="00F44F3A">
        <w:t xml:space="preserve"> or</w:t>
      </w:r>
      <w:r w:rsidRPr="00F44F3A">
        <w:t xml:space="preserve"> 1800 226 667</w:t>
      </w:r>
      <w:r w:rsidRPr="00F44F3A">
        <w:br/>
        <w:t>F</w:t>
      </w:r>
      <w:r w:rsidR="00140318" w:rsidRPr="00F44F3A">
        <w:tab/>
      </w:r>
      <w:r w:rsidRPr="00F44F3A">
        <w:t>+61 2 9334 7799</w:t>
      </w:r>
    </w:p>
    <w:p w14:paraId="1B15A68B" w14:textId="77777777" w:rsidR="00140318" w:rsidRPr="006D46E5" w:rsidRDefault="00140318" w:rsidP="00FC07B9">
      <w:pPr>
        <w:pStyle w:val="ACMACopyrightHeader"/>
      </w:pPr>
      <w:r w:rsidRPr="00140318">
        <w:t>Copyright notice</w:t>
      </w:r>
    </w:p>
    <w:p w14:paraId="28A2D05B" w14:textId="77777777" w:rsidR="00140318" w:rsidRPr="006D46E5" w:rsidRDefault="00623FF9" w:rsidP="00623FF9">
      <w:pPr>
        <w:pStyle w:val="ACMACClogo"/>
      </w:pPr>
      <w:r w:rsidRPr="00623FF9">
        <w:rPr>
          <w:noProof/>
        </w:rPr>
        <w:drawing>
          <wp:inline distT="0" distB="0" distL="0" distR="0" wp14:anchorId="45FFA73E" wp14:editId="7BBFDF65">
            <wp:extent cx="838200" cy="295275"/>
            <wp:effectExtent l="0" t="0" r="0" b="0"/>
            <wp:docPr id="1" name="Picture 1" title="Creative Commons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y">
                      <a:hlinkClick r:id="rId11"/>
                    </pic:cNvPr>
                    <pic:cNvPicPr>
                      <a:picLocks noChangeAspect="1" noChangeArrowheads="1"/>
                    </pic:cNvPicPr>
                  </pic:nvPicPr>
                  <pic:blipFill>
                    <a:blip r:embed="rId12" cstate="print"/>
                    <a:srcRect/>
                    <a:stretch>
                      <a:fillRect/>
                    </a:stretch>
                  </pic:blipFill>
                  <pic:spPr bwMode="auto">
                    <a:xfrm>
                      <a:off x="0" y="0"/>
                      <a:ext cx="838200" cy="295275"/>
                    </a:xfrm>
                    <a:prstGeom prst="rect">
                      <a:avLst/>
                    </a:prstGeom>
                    <a:noFill/>
                  </pic:spPr>
                </pic:pic>
              </a:graphicData>
            </a:graphic>
          </wp:inline>
        </w:drawing>
      </w:r>
    </w:p>
    <w:p w14:paraId="091FECD5" w14:textId="77777777" w:rsidR="00AA2DE5" w:rsidRDefault="008C4830" w:rsidP="00AA2DE5">
      <w:pPr>
        <w:pStyle w:val="ACMACorporateAddresses"/>
        <w:rPr>
          <w:rStyle w:val="Hyperlink"/>
        </w:rPr>
      </w:pPr>
      <w:hyperlink r:id="rId13" w:history="1">
        <w:r w:rsidR="00AA2DE5">
          <w:rPr>
            <w:rStyle w:val="Hyperlink"/>
          </w:rPr>
          <w:t>https://creativecommons.org/licenses/by/4.0/</w:t>
        </w:r>
      </w:hyperlink>
    </w:p>
    <w:p w14:paraId="28CD5C94" w14:textId="77777777" w:rsidR="00AA2DE5" w:rsidRDefault="00AA2DE5" w:rsidP="00AA2DE5">
      <w:pPr>
        <w:pStyle w:val="ACMACorporateAddresses"/>
      </w:pPr>
      <w:r>
        <w:t xml:space="preserve">With the exception of coats of arms, logos, emblems, images, other third-party material or devices protected by a trademark, this content is made available under the terms of the Creative Commons Attribution 4.0 International (CC BY 4.0) licence. </w:t>
      </w:r>
    </w:p>
    <w:p w14:paraId="69657241" w14:textId="084D1C47" w:rsidR="00AA2DE5" w:rsidRDefault="00AA2DE5" w:rsidP="00AA2DE5">
      <w:pPr>
        <w:pStyle w:val="ACMACorporateAddresses"/>
      </w:pPr>
      <w:r>
        <w:t>We request attribution as © Commonwealth of Australia (Australian Communications and Media Authority) 20</w:t>
      </w:r>
      <w:r w:rsidR="00C41F21">
        <w:t>2</w:t>
      </w:r>
      <w:r w:rsidR="00C26D33">
        <w:t>2</w:t>
      </w:r>
      <w:r>
        <w:t>.</w:t>
      </w:r>
    </w:p>
    <w:p w14:paraId="73DD154E" w14:textId="77777777" w:rsidR="00AA2DE5" w:rsidRDefault="00AA2DE5" w:rsidP="00AA2DE5">
      <w:pPr>
        <w:pStyle w:val="ACMACorporateAddresses"/>
      </w:pPr>
      <w:r>
        <w:t>All other rights are reserved.</w:t>
      </w:r>
    </w:p>
    <w:p w14:paraId="03874E8C" w14:textId="77777777" w:rsidR="00AA2DE5" w:rsidRDefault="00AA2DE5" w:rsidP="00AA2DE5">
      <w:pPr>
        <w:pStyle w:val="ACMACorporateAddresses"/>
      </w:pPr>
      <w:r>
        <w:t xml:space="preserve">The Australian Communications and Media Authority has undertaken reasonable enquiries to identify material owned by third parties and secure permission for its reproduction. Permission may need to be obtained from third parties to re-use their material. </w:t>
      </w:r>
    </w:p>
    <w:p w14:paraId="78DCF20D" w14:textId="77777777" w:rsidR="00AA2DE5" w:rsidRDefault="00AA2DE5" w:rsidP="00AA2DE5">
      <w:pPr>
        <w:pStyle w:val="ACMACorporateAddresses"/>
      </w:pPr>
      <w:r>
        <w:t>Written enquiries may be sent to:</w:t>
      </w:r>
    </w:p>
    <w:p w14:paraId="4F3EC878" w14:textId="77777777" w:rsidR="00AA2DE5" w:rsidRDefault="00AA2DE5" w:rsidP="00AA2DE5">
      <w:pPr>
        <w:pStyle w:val="ACMACorporateAddresses"/>
        <w:rPr>
          <w:rStyle w:val="Hyperlink"/>
        </w:rPr>
      </w:pPr>
      <w:r>
        <w:t xml:space="preserve">Manager, Editorial </w:t>
      </w:r>
      <w:r w:rsidR="000245E5">
        <w:t>Services</w:t>
      </w:r>
      <w:r>
        <w:br/>
        <w:t>PO Box 13112</w:t>
      </w:r>
      <w:r>
        <w:br/>
        <w:t>Law Courts</w:t>
      </w:r>
      <w:r>
        <w:br/>
        <w:t>Melbourne VIC 8010</w:t>
      </w:r>
      <w:r>
        <w:br/>
        <w:t xml:space="preserve">Email: </w:t>
      </w:r>
      <w:hyperlink r:id="rId14" w:history="1">
        <w:r>
          <w:rPr>
            <w:rStyle w:val="Hyperlink"/>
          </w:rPr>
          <w:t>info@acma.gov.au</w:t>
        </w:r>
      </w:hyperlink>
    </w:p>
    <w:p w14:paraId="369D853A" w14:textId="77777777" w:rsidR="00D16FE3" w:rsidRDefault="00D16FE3" w:rsidP="00D16FE3">
      <w:pPr>
        <w:pStyle w:val="ACMACorporateAddresses"/>
        <w:rPr>
          <w:rStyle w:val="Hyperlink"/>
        </w:rPr>
      </w:pPr>
    </w:p>
    <w:p w14:paraId="540CCF8C" w14:textId="77777777" w:rsidR="00D16FE3" w:rsidRPr="00D16FE3" w:rsidRDefault="00D16FE3" w:rsidP="00D16FE3">
      <w:pPr>
        <w:pStyle w:val="ACMACorporateAddresses"/>
        <w:sectPr w:rsidR="00D16FE3" w:rsidRPr="00D16FE3">
          <w:headerReference w:type="even" r:id="rId15"/>
          <w:headerReference w:type="default" r:id="rId16"/>
          <w:footerReference w:type="even" r:id="rId17"/>
          <w:footerReference w:type="default" r:id="rId18"/>
          <w:pgSz w:w="11906" w:h="16838" w:code="9"/>
          <w:pgMar w:top="3924" w:right="1797" w:bottom="697" w:left="1134" w:header="709" w:footer="119" w:gutter="0"/>
          <w:cols w:space="708"/>
          <w:docGrid w:linePitch="360"/>
        </w:sectPr>
      </w:pPr>
    </w:p>
    <w:p w14:paraId="05ADDA9C" w14:textId="48B9C298" w:rsidR="00943631" w:rsidRDefault="00FB3192">
      <w:pPr>
        <w:pStyle w:val="TOC1"/>
        <w:rPr>
          <w:rFonts w:asciiTheme="minorHAnsi" w:eastAsiaTheme="minorEastAsia" w:hAnsiTheme="minorHAnsi" w:cstheme="minorBidi"/>
          <w:b w:val="0"/>
          <w:spacing w:val="0"/>
          <w:sz w:val="22"/>
          <w:szCs w:val="22"/>
        </w:rPr>
      </w:pPr>
      <w:r w:rsidRPr="002437BA">
        <w:rPr>
          <w:rFonts w:cs="Arial"/>
          <w:b w:val="0"/>
        </w:rPr>
        <w:lastRenderedPageBreak/>
        <w:fldChar w:fldCharType="begin"/>
      </w:r>
      <w:r w:rsidRPr="002437BA">
        <w:rPr>
          <w:rFonts w:cs="Arial"/>
          <w:b w:val="0"/>
        </w:rPr>
        <w:instrText xml:space="preserve"> TOC \o "1-3" \h \z \u </w:instrText>
      </w:r>
      <w:r w:rsidRPr="002437BA">
        <w:rPr>
          <w:rFonts w:cs="Arial"/>
          <w:b w:val="0"/>
        </w:rPr>
        <w:fldChar w:fldCharType="separate"/>
      </w:r>
      <w:hyperlink w:anchor="_Toc113546285" w:history="1">
        <w:r w:rsidR="00943631" w:rsidRPr="00AC14B9">
          <w:rPr>
            <w:rStyle w:val="Hyperlink"/>
          </w:rPr>
          <w:t>Overview</w:t>
        </w:r>
        <w:r w:rsidR="00943631">
          <w:rPr>
            <w:webHidden/>
          </w:rPr>
          <w:tab/>
        </w:r>
        <w:r w:rsidR="00943631">
          <w:rPr>
            <w:webHidden/>
          </w:rPr>
          <w:fldChar w:fldCharType="begin"/>
        </w:r>
        <w:r w:rsidR="00943631">
          <w:rPr>
            <w:webHidden/>
          </w:rPr>
          <w:instrText xml:space="preserve"> PAGEREF _Toc113546285 \h </w:instrText>
        </w:r>
        <w:r w:rsidR="00943631">
          <w:rPr>
            <w:webHidden/>
          </w:rPr>
        </w:r>
        <w:r w:rsidR="00943631">
          <w:rPr>
            <w:webHidden/>
          </w:rPr>
          <w:fldChar w:fldCharType="separate"/>
        </w:r>
        <w:r w:rsidR="00943631">
          <w:rPr>
            <w:webHidden/>
          </w:rPr>
          <w:t>1</w:t>
        </w:r>
        <w:r w:rsidR="00943631">
          <w:rPr>
            <w:webHidden/>
          </w:rPr>
          <w:fldChar w:fldCharType="end"/>
        </w:r>
      </w:hyperlink>
    </w:p>
    <w:p w14:paraId="79A83DC1" w14:textId="251108A8" w:rsidR="00943631" w:rsidRDefault="008C4830">
      <w:pPr>
        <w:pStyle w:val="TOC2"/>
        <w:rPr>
          <w:rFonts w:asciiTheme="minorHAnsi" w:eastAsiaTheme="minorEastAsia" w:hAnsiTheme="minorHAnsi" w:cstheme="minorBidi"/>
          <w:spacing w:val="0"/>
          <w:sz w:val="22"/>
          <w:szCs w:val="22"/>
        </w:rPr>
      </w:pPr>
      <w:hyperlink w:anchor="_Toc113546286" w:history="1">
        <w:r w:rsidR="00943631" w:rsidRPr="00AC14B9">
          <w:rPr>
            <w:rStyle w:val="Hyperlink"/>
          </w:rPr>
          <w:t>Why we have adopted planning principles for conversions</w:t>
        </w:r>
        <w:r w:rsidR="00943631">
          <w:rPr>
            <w:webHidden/>
          </w:rPr>
          <w:tab/>
        </w:r>
        <w:r w:rsidR="00943631">
          <w:rPr>
            <w:webHidden/>
          </w:rPr>
          <w:fldChar w:fldCharType="begin"/>
        </w:r>
        <w:r w:rsidR="00943631">
          <w:rPr>
            <w:webHidden/>
          </w:rPr>
          <w:instrText xml:space="preserve"> PAGEREF _Toc113546286 \h </w:instrText>
        </w:r>
        <w:r w:rsidR="00943631">
          <w:rPr>
            <w:webHidden/>
          </w:rPr>
        </w:r>
        <w:r w:rsidR="00943631">
          <w:rPr>
            <w:webHidden/>
          </w:rPr>
          <w:fldChar w:fldCharType="separate"/>
        </w:r>
        <w:r w:rsidR="00943631">
          <w:rPr>
            <w:webHidden/>
          </w:rPr>
          <w:t>1</w:t>
        </w:r>
        <w:r w:rsidR="00943631">
          <w:rPr>
            <w:webHidden/>
          </w:rPr>
          <w:fldChar w:fldCharType="end"/>
        </w:r>
      </w:hyperlink>
    </w:p>
    <w:p w14:paraId="4655FFF6" w14:textId="0300D92D" w:rsidR="00943631" w:rsidRDefault="008C4830">
      <w:pPr>
        <w:pStyle w:val="TOC2"/>
        <w:rPr>
          <w:rFonts w:asciiTheme="minorHAnsi" w:eastAsiaTheme="minorEastAsia" w:hAnsiTheme="minorHAnsi" w:cstheme="minorBidi"/>
          <w:spacing w:val="0"/>
          <w:sz w:val="22"/>
          <w:szCs w:val="22"/>
        </w:rPr>
      </w:pPr>
      <w:hyperlink w:anchor="_Toc113546287" w:history="1">
        <w:r w:rsidR="00943631" w:rsidRPr="00AC14B9">
          <w:rPr>
            <w:rStyle w:val="Hyperlink"/>
          </w:rPr>
          <w:t>How the planning principles will be applied</w:t>
        </w:r>
        <w:r w:rsidR="00943631">
          <w:rPr>
            <w:webHidden/>
          </w:rPr>
          <w:tab/>
        </w:r>
        <w:r w:rsidR="00943631">
          <w:rPr>
            <w:webHidden/>
          </w:rPr>
          <w:fldChar w:fldCharType="begin"/>
        </w:r>
        <w:r w:rsidR="00943631">
          <w:rPr>
            <w:webHidden/>
          </w:rPr>
          <w:instrText xml:space="preserve"> PAGEREF _Toc113546287 \h </w:instrText>
        </w:r>
        <w:r w:rsidR="00943631">
          <w:rPr>
            <w:webHidden/>
          </w:rPr>
        </w:r>
        <w:r w:rsidR="00943631">
          <w:rPr>
            <w:webHidden/>
          </w:rPr>
          <w:fldChar w:fldCharType="separate"/>
        </w:r>
        <w:r w:rsidR="00943631">
          <w:rPr>
            <w:webHidden/>
          </w:rPr>
          <w:t>2</w:t>
        </w:r>
        <w:r w:rsidR="00943631">
          <w:rPr>
            <w:webHidden/>
          </w:rPr>
          <w:fldChar w:fldCharType="end"/>
        </w:r>
      </w:hyperlink>
    </w:p>
    <w:p w14:paraId="6C495B1A" w14:textId="585FF2EE" w:rsidR="00943631" w:rsidRDefault="008C4830">
      <w:pPr>
        <w:pStyle w:val="TOC2"/>
        <w:rPr>
          <w:rFonts w:asciiTheme="minorHAnsi" w:eastAsiaTheme="minorEastAsia" w:hAnsiTheme="minorHAnsi" w:cstheme="minorBidi"/>
          <w:spacing w:val="0"/>
          <w:sz w:val="22"/>
          <w:szCs w:val="22"/>
        </w:rPr>
      </w:pPr>
      <w:hyperlink w:anchor="_Toc113546288" w:history="1">
        <w:r w:rsidR="00943631" w:rsidRPr="00AC14B9">
          <w:rPr>
            <w:rStyle w:val="Hyperlink"/>
          </w:rPr>
          <w:t>Consultation on the planning principles</w:t>
        </w:r>
        <w:r w:rsidR="00943631">
          <w:rPr>
            <w:webHidden/>
          </w:rPr>
          <w:tab/>
        </w:r>
        <w:r w:rsidR="00943631">
          <w:rPr>
            <w:webHidden/>
          </w:rPr>
          <w:fldChar w:fldCharType="begin"/>
        </w:r>
        <w:r w:rsidR="00943631">
          <w:rPr>
            <w:webHidden/>
          </w:rPr>
          <w:instrText xml:space="preserve"> PAGEREF _Toc113546288 \h </w:instrText>
        </w:r>
        <w:r w:rsidR="00943631">
          <w:rPr>
            <w:webHidden/>
          </w:rPr>
        </w:r>
        <w:r w:rsidR="00943631">
          <w:rPr>
            <w:webHidden/>
          </w:rPr>
          <w:fldChar w:fldCharType="separate"/>
        </w:r>
        <w:r w:rsidR="00943631">
          <w:rPr>
            <w:webHidden/>
          </w:rPr>
          <w:t>2</w:t>
        </w:r>
        <w:r w:rsidR="00943631">
          <w:rPr>
            <w:webHidden/>
          </w:rPr>
          <w:fldChar w:fldCharType="end"/>
        </w:r>
      </w:hyperlink>
    </w:p>
    <w:p w14:paraId="5538F35F" w14:textId="3CA29CC8" w:rsidR="00943631" w:rsidRDefault="008C4830">
      <w:pPr>
        <w:pStyle w:val="TOC2"/>
        <w:rPr>
          <w:rFonts w:asciiTheme="minorHAnsi" w:eastAsiaTheme="minorEastAsia" w:hAnsiTheme="minorHAnsi" w:cstheme="minorBidi"/>
          <w:spacing w:val="0"/>
          <w:sz w:val="22"/>
          <w:szCs w:val="22"/>
        </w:rPr>
      </w:pPr>
      <w:hyperlink w:anchor="_Toc113546289" w:history="1">
        <w:r w:rsidR="00943631" w:rsidRPr="00AC14B9">
          <w:rPr>
            <w:rStyle w:val="Hyperlink"/>
          </w:rPr>
          <w:t>Our expectations for the expanded conversion program</w:t>
        </w:r>
        <w:r w:rsidR="00943631">
          <w:rPr>
            <w:webHidden/>
          </w:rPr>
          <w:tab/>
        </w:r>
        <w:r w:rsidR="00943631">
          <w:rPr>
            <w:webHidden/>
          </w:rPr>
          <w:fldChar w:fldCharType="begin"/>
        </w:r>
        <w:r w:rsidR="00943631">
          <w:rPr>
            <w:webHidden/>
          </w:rPr>
          <w:instrText xml:space="preserve"> PAGEREF _Toc113546289 \h </w:instrText>
        </w:r>
        <w:r w:rsidR="00943631">
          <w:rPr>
            <w:webHidden/>
          </w:rPr>
        </w:r>
        <w:r w:rsidR="00943631">
          <w:rPr>
            <w:webHidden/>
          </w:rPr>
          <w:fldChar w:fldCharType="separate"/>
        </w:r>
        <w:r w:rsidR="00943631">
          <w:rPr>
            <w:webHidden/>
          </w:rPr>
          <w:t>2</w:t>
        </w:r>
        <w:r w:rsidR="00943631">
          <w:rPr>
            <w:webHidden/>
          </w:rPr>
          <w:fldChar w:fldCharType="end"/>
        </w:r>
      </w:hyperlink>
    </w:p>
    <w:p w14:paraId="04DD7854" w14:textId="7A818480" w:rsidR="00943631" w:rsidRDefault="008C4830">
      <w:pPr>
        <w:pStyle w:val="TOC1"/>
        <w:rPr>
          <w:rFonts w:asciiTheme="minorHAnsi" w:eastAsiaTheme="minorEastAsia" w:hAnsiTheme="minorHAnsi" w:cstheme="minorBidi"/>
          <w:b w:val="0"/>
          <w:spacing w:val="0"/>
          <w:sz w:val="22"/>
          <w:szCs w:val="22"/>
        </w:rPr>
      </w:pPr>
      <w:hyperlink w:anchor="_Toc113546290" w:history="1">
        <w:r w:rsidR="00943631" w:rsidRPr="00AC14B9">
          <w:rPr>
            <w:rStyle w:val="Hyperlink"/>
          </w:rPr>
          <w:t>Background</w:t>
        </w:r>
        <w:r w:rsidR="00943631">
          <w:rPr>
            <w:webHidden/>
          </w:rPr>
          <w:tab/>
        </w:r>
        <w:r w:rsidR="00943631">
          <w:rPr>
            <w:webHidden/>
          </w:rPr>
          <w:fldChar w:fldCharType="begin"/>
        </w:r>
        <w:r w:rsidR="00943631">
          <w:rPr>
            <w:webHidden/>
          </w:rPr>
          <w:instrText xml:space="preserve"> PAGEREF _Toc113546290 \h </w:instrText>
        </w:r>
        <w:r w:rsidR="00943631">
          <w:rPr>
            <w:webHidden/>
          </w:rPr>
        </w:r>
        <w:r w:rsidR="00943631">
          <w:rPr>
            <w:webHidden/>
          </w:rPr>
          <w:fldChar w:fldCharType="separate"/>
        </w:r>
        <w:r w:rsidR="00943631">
          <w:rPr>
            <w:webHidden/>
          </w:rPr>
          <w:t>4</w:t>
        </w:r>
        <w:r w:rsidR="00943631">
          <w:rPr>
            <w:webHidden/>
          </w:rPr>
          <w:fldChar w:fldCharType="end"/>
        </w:r>
      </w:hyperlink>
    </w:p>
    <w:p w14:paraId="3F5DE8CF" w14:textId="3A41FB36" w:rsidR="00943631" w:rsidRDefault="008C4830">
      <w:pPr>
        <w:pStyle w:val="TOC2"/>
        <w:rPr>
          <w:rFonts w:asciiTheme="minorHAnsi" w:eastAsiaTheme="minorEastAsia" w:hAnsiTheme="minorHAnsi" w:cstheme="minorBidi"/>
          <w:spacing w:val="0"/>
          <w:sz w:val="22"/>
          <w:szCs w:val="22"/>
        </w:rPr>
      </w:pPr>
      <w:hyperlink w:anchor="_Toc113546291" w:history="1">
        <w:r w:rsidR="00943631" w:rsidRPr="00AC14B9">
          <w:rPr>
            <w:rStyle w:val="Hyperlink"/>
          </w:rPr>
          <w:t>How we plan broadcast spectrum</w:t>
        </w:r>
        <w:r w:rsidR="00943631">
          <w:rPr>
            <w:webHidden/>
          </w:rPr>
          <w:tab/>
        </w:r>
        <w:r w:rsidR="00943631">
          <w:rPr>
            <w:webHidden/>
          </w:rPr>
          <w:fldChar w:fldCharType="begin"/>
        </w:r>
        <w:r w:rsidR="00943631">
          <w:rPr>
            <w:webHidden/>
          </w:rPr>
          <w:instrText xml:space="preserve"> PAGEREF _Toc113546291 \h </w:instrText>
        </w:r>
        <w:r w:rsidR="00943631">
          <w:rPr>
            <w:webHidden/>
          </w:rPr>
        </w:r>
        <w:r w:rsidR="00943631">
          <w:rPr>
            <w:webHidden/>
          </w:rPr>
          <w:fldChar w:fldCharType="separate"/>
        </w:r>
        <w:r w:rsidR="00943631">
          <w:rPr>
            <w:webHidden/>
          </w:rPr>
          <w:t>4</w:t>
        </w:r>
        <w:r w:rsidR="00943631">
          <w:rPr>
            <w:webHidden/>
          </w:rPr>
          <w:fldChar w:fldCharType="end"/>
        </w:r>
      </w:hyperlink>
    </w:p>
    <w:p w14:paraId="10B9332E" w14:textId="5D1963D4" w:rsidR="00943631" w:rsidRDefault="008C4830">
      <w:pPr>
        <w:pStyle w:val="TOC2"/>
        <w:rPr>
          <w:rFonts w:asciiTheme="minorHAnsi" w:eastAsiaTheme="minorEastAsia" w:hAnsiTheme="minorHAnsi" w:cstheme="minorBidi"/>
          <w:spacing w:val="0"/>
          <w:sz w:val="22"/>
          <w:szCs w:val="22"/>
        </w:rPr>
      </w:pPr>
      <w:hyperlink w:anchor="_Toc113546292" w:history="1">
        <w:r w:rsidR="00943631" w:rsidRPr="00AC14B9">
          <w:rPr>
            <w:rStyle w:val="Hyperlink"/>
          </w:rPr>
          <w:t>Future delivery of radio report</w:t>
        </w:r>
        <w:r w:rsidR="00943631">
          <w:rPr>
            <w:webHidden/>
          </w:rPr>
          <w:tab/>
        </w:r>
        <w:r w:rsidR="00943631">
          <w:rPr>
            <w:webHidden/>
          </w:rPr>
          <w:fldChar w:fldCharType="begin"/>
        </w:r>
        <w:r w:rsidR="00943631">
          <w:rPr>
            <w:webHidden/>
          </w:rPr>
          <w:instrText xml:space="preserve"> PAGEREF _Toc113546292 \h </w:instrText>
        </w:r>
        <w:r w:rsidR="00943631">
          <w:rPr>
            <w:webHidden/>
          </w:rPr>
        </w:r>
        <w:r w:rsidR="00943631">
          <w:rPr>
            <w:webHidden/>
          </w:rPr>
          <w:fldChar w:fldCharType="separate"/>
        </w:r>
        <w:r w:rsidR="00943631">
          <w:rPr>
            <w:webHidden/>
          </w:rPr>
          <w:t>4</w:t>
        </w:r>
        <w:r w:rsidR="00943631">
          <w:rPr>
            <w:webHidden/>
          </w:rPr>
          <w:fldChar w:fldCharType="end"/>
        </w:r>
      </w:hyperlink>
    </w:p>
    <w:p w14:paraId="2BED275B" w14:textId="24DFDC3E" w:rsidR="00943631" w:rsidRDefault="008C4830">
      <w:pPr>
        <w:pStyle w:val="TOC2"/>
        <w:rPr>
          <w:rFonts w:asciiTheme="minorHAnsi" w:eastAsiaTheme="minorEastAsia" w:hAnsiTheme="minorHAnsi" w:cstheme="minorBidi"/>
          <w:spacing w:val="0"/>
          <w:sz w:val="22"/>
          <w:szCs w:val="22"/>
        </w:rPr>
      </w:pPr>
      <w:hyperlink w:anchor="_Toc113546293" w:history="1">
        <w:r w:rsidR="00943631" w:rsidRPr="00AC14B9">
          <w:rPr>
            <w:rStyle w:val="Hyperlink"/>
          </w:rPr>
          <w:t>Expanding conversion program to non-solus regional licence areas</w:t>
        </w:r>
        <w:r w:rsidR="00943631">
          <w:rPr>
            <w:webHidden/>
          </w:rPr>
          <w:tab/>
        </w:r>
        <w:r w:rsidR="00943631">
          <w:rPr>
            <w:webHidden/>
          </w:rPr>
          <w:fldChar w:fldCharType="begin"/>
        </w:r>
        <w:r w:rsidR="00943631">
          <w:rPr>
            <w:webHidden/>
          </w:rPr>
          <w:instrText xml:space="preserve"> PAGEREF _Toc113546293 \h </w:instrText>
        </w:r>
        <w:r w:rsidR="00943631">
          <w:rPr>
            <w:webHidden/>
          </w:rPr>
        </w:r>
        <w:r w:rsidR="00943631">
          <w:rPr>
            <w:webHidden/>
          </w:rPr>
          <w:fldChar w:fldCharType="separate"/>
        </w:r>
        <w:r w:rsidR="00943631">
          <w:rPr>
            <w:webHidden/>
          </w:rPr>
          <w:t>5</w:t>
        </w:r>
        <w:r w:rsidR="00943631">
          <w:rPr>
            <w:webHidden/>
          </w:rPr>
          <w:fldChar w:fldCharType="end"/>
        </w:r>
      </w:hyperlink>
    </w:p>
    <w:p w14:paraId="440B9803" w14:textId="0CB18A8B" w:rsidR="00943631" w:rsidRDefault="008C4830">
      <w:pPr>
        <w:pStyle w:val="TOC1"/>
        <w:rPr>
          <w:rFonts w:asciiTheme="minorHAnsi" w:eastAsiaTheme="minorEastAsia" w:hAnsiTheme="minorHAnsi" w:cstheme="minorBidi"/>
          <w:b w:val="0"/>
          <w:spacing w:val="0"/>
          <w:sz w:val="22"/>
          <w:szCs w:val="22"/>
        </w:rPr>
      </w:pPr>
      <w:hyperlink w:anchor="_Toc113546294" w:history="1">
        <w:r w:rsidR="00943631" w:rsidRPr="00AC14B9">
          <w:rPr>
            <w:rStyle w:val="Hyperlink"/>
          </w:rPr>
          <w:t>Planning principles</w:t>
        </w:r>
        <w:r w:rsidR="00943631">
          <w:rPr>
            <w:webHidden/>
          </w:rPr>
          <w:tab/>
        </w:r>
        <w:r w:rsidR="00943631">
          <w:rPr>
            <w:webHidden/>
          </w:rPr>
          <w:fldChar w:fldCharType="begin"/>
        </w:r>
        <w:r w:rsidR="00943631">
          <w:rPr>
            <w:webHidden/>
          </w:rPr>
          <w:instrText xml:space="preserve"> PAGEREF _Toc113546294 \h </w:instrText>
        </w:r>
        <w:r w:rsidR="00943631">
          <w:rPr>
            <w:webHidden/>
          </w:rPr>
        </w:r>
        <w:r w:rsidR="00943631">
          <w:rPr>
            <w:webHidden/>
          </w:rPr>
          <w:fldChar w:fldCharType="separate"/>
        </w:r>
        <w:r w:rsidR="00943631">
          <w:rPr>
            <w:webHidden/>
          </w:rPr>
          <w:t>6</w:t>
        </w:r>
        <w:r w:rsidR="00943631">
          <w:rPr>
            <w:webHidden/>
          </w:rPr>
          <w:fldChar w:fldCharType="end"/>
        </w:r>
      </w:hyperlink>
    </w:p>
    <w:p w14:paraId="0BD38FA6" w14:textId="474909E4" w:rsidR="00943631" w:rsidRDefault="008C4830">
      <w:pPr>
        <w:pStyle w:val="TOC2"/>
        <w:rPr>
          <w:rFonts w:asciiTheme="minorHAnsi" w:eastAsiaTheme="minorEastAsia" w:hAnsiTheme="minorHAnsi" w:cstheme="minorBidi"/>
          <w:spacing w:val="0"/>
          <w:sz w:val="22"/>
          <w:szCs w:val="22"/>
        </w:rPr>
      </w:pPr>
      <w:hyperlink w:anchor="_Toc113546295" w:history="1">
        <w:r w:rsidR="00943631" w:rsidRPr="00AC14B9">
          <w:rPr>
            <w:rStyle w:val="Hyperlink"/>
          </w:rPr>
          <w:t>Principle 1: Service to be maintained for listeners</w:t>
        </w:r>
        <w:r w:rsidR="00943631">
          <w:rPr>
            <w:webHidden/>
          </w:rPr>
          <w:tab/>
        </w:r>
        <w:r w:rsidR="00943631">
          <w:rPr>
            <w:webHidden/>
          </w:rPr>
          <w:fldChar w:fldCharType="begin"/>
        </w:r>
        <w:r w:rsidR="00943631">
          <w:rPr>
            <w:webHidden/>
          </w:rPr>
          <w:instrText xml:space="preserve"> PAGEREF _Toc113546295 \h </w:instrText>
        </w:r>
        <w:r w:rsidR="00943631">
          <w:rPr>
            <w:webHidden/>
          </w:rPr>
        </w:r>
        <w:r w:rsidR="00943631">
          <w:rPr>
            <w:webHidden/>
          </w:rPr>
          <w:fldChar w:fldCharType="separate"/>
        </w:r>
        <w:r w:rsidR="00943631">
          <w:rPr>
            <w:webHidden/>
          </w:rPr>
          <w:t>6</w:t>
        </w:r>
        <w:r w:rsidR="00943631">
          <w:rPr>
            <w:webHidden/>
          </w:rPr>
          <w:fldChar w:fldCharType="end"/>
        </w:r>
      </w:hyperlink>
    </w:p>
    <w:p w14:paraId="4E3A7DA3" w14:textId="4108FE81" w:rsidR="00943631" w:rsidRDefault="008C4830">
      <w:pPr>
        <w:pStyle w:val="TOC2"/>
        <w:rPr>
          <w:rFonts w:asciiTheme="minorHAnsi" w:eastAsiaTheme="minorEastAsia" w:hAnsiTheme="minorHAnsi" w:cstheme="minorBidi"/>
          <w:spacing w:val="0"/>
          <w:sz w:val="22"/>
          <w:szCs w:val="22"/>
        </w:rPr>
      </w:pPr>
      <w:hyperlink w:anchor="_Toc113546296" w:history="1">
        <w:r w:rsidR="00943631" w:rsidRPr="00AC14B9">
          <w:rPr>
            <w:rStyle w:val="Hyperlink"/>
          </w:rPr>
          <w:t>Principle 2: AM transmission to end after conversion</w:t>
        </w:r>
        <w:r w:rsidR="00943631">
          <w:rPr>
            <w:webHidden/>
          </w:rPr>
          <w:tab/>
        </w:r>
        <w:r w:rsidR="00943631">
          <w:rPr>
            <w:webHidden/>
          </w:rPr>
          <w:fldChar w:fldCharType="begin"/>
        </w:r>
        <w:r w:rsidR="00943631">
          <w:rPr>
            <w:webHidden/>
          </w:rPr>
          <w:instrText xml:space="preserve"> PAGEREF _Toc113546296 \h </w:instrText>
        </w:r>
        <w:r w:rsidR="00943631">
          <w:rPr>
            <w:webHidden/>
          </w:rPr>
        </w:r>
        <w:r w:rsidR="00943631">
          <w:rPr>
            <w:webHidden/>
          </w:rPr>
          <w:fldChar w:fldCharType="separate"/>
        </w:r>
        <w:r w:rsidR="00943631">
          <w:rPr>
            <w:webHidden/>
          </w:rPr>
          <w:t>7</w:t>
        </w:r>
        <w:r w:rsidR="00943631">
          <w:rPr>
            <w:webHidden/>
          </w:rPr>
          <w:fldChar w:fldCharType="end"/>
        </w:r>
      </w:hyperlink>
    </w:p>
    <w:p w14:paraId="34F2C81B" w14:textId="0A3A1618" w:rsidR="00943631" w:rsidRDefault="008C4830">
      <w:pPr>
        <w:pStyle w:val="TOC2"/>
        <w:rPr>
          <w:rFonts w:asciiTheme="minorHAnsi" w:eastAsiaTheme="minorEastAsia" w:hAnsiTheme="minorHAnsi" w:cstheme="minorBidi"/>
          <w:spacing w:val="0"/>
          <w:sz w:val="22"/>
          <w:szCs w:val="22"/>
        </w:rPr>
      </w:pPr>
      <w:hyperlink w:anchor="_Toc113546297" w:history="1">
        <w:r w:rsidR="00943631" w:rsidRPr="00AC14B9">
          <w:rPr>
            <w:rStyle w:val="Hyperlink"/>
          </w:rPr>
          <w:t>Principle 3: No replanning of existing services unless agreed between affected broadcasters</w:t>
        </w:r>
        <w:r w:rsidR="00943631">
          <w:rPr>
            <w:webHidden/>
          </w:rPr>
          <w:tab/>
        </w:r>
        <w:r w:rsidR="00943631">
          <w:rPr>
            <w:webHidden/>
          </w:rPr>
          <w:fldChar w:fldCharType="begin"/>
        </w:r>
        <w:r w:rsidR="00943631">
          <w:rPr>
            <w:webHidden/>
          </w:rPr>
          <w:instrText xml:space="preserve"> PAGEREF _Toc113546297 \h </w:instrText>
        </w:r>
        <w:r w:rsidR="00943631">
          <w:rPr>
            <w:webHidden/>
          </w:rPr>
        </w:r>
        <w:r w:rsidR="00943631">
          <w:rPr>
            <w:webHidden/>
          </w:rPr>
          <w:fldChar w:fldCharType="separate"/>
        </w:r>
        <w:r w:rsidR="00943631">
          <w:rPr>
            <w:webHidden/>
          </w:rPr>
          <w:t>8</w:t>
        </w:r>
        <w:r w:rsidR="00943631">
          <w:rPr>
            <w:webHidden/>
          </w:rPr>
          <w:fldChar w:fldCharType="end"/>
        </w:r>
      </w:hyperlink>
    </w:p>
    <w:p w14:paraId="60F3913E" w14:textId="02B3F34F" w:rsidR="00943631" w:rsidRDefault="008C4830">
      <w:pPr>
        <w:pStyle w:val="TOC2"/>
        <w:rPr>
          <w:rFonts w:asciiTheme="minorHAnsi" w:eastAsiaTheme="minorEastAsia" w:hAnsiTheme="minorHAnsi" w:cstheme="minorBidi"/>
          <w:spacing w:val="0"/>
          <w:sz w:val="22"/>
          <w:szCs w:val="22"/>
        </w:rPr>
      </w:pPr>
      <w:hyperlink w:anchor="_Toc113546298" w:history="1">
        <w:r w:rsidR="00943631" w:rsidRPr="00AC14B9">
          <w:rPr>
            <w:rStyle w:val="Hyperlink"/>
          </w:rPr>
          <w:t>Principle 4: Spectrum to be put to efficient use</w:t>
        </w:r>
        <w:r w:rsidR="00943631">
          <w:rPr>
            <w:webHidden/>
          </w:rPr>
          <w:tab/>
        </w:r>
        <w:r w:rsidR="00943631">
          <w:rPr>
            <w:webHidden/>
          </w:rPr>
          <w:fldChar w:fldCharType="begin"/>
        </w:r>
        <w:r w:rsidR="00943631">
          <w:rPr>
            <w:webHidden/>
          </w:rPr>
          <w:instrText xml:space="preserve"> PAGEREF _Toc113546298 \h </w:instrText>
        </w:r>
        <w:r w:rsidR="00943631">
          <w:rPr>
            <w:webHidden/>
          </w:rPr>
        </w:r>
        <w:r w:rsidR="00943631">
          <w:rPr>
            <w:webHidden/>
          </w:rPr>
          <w:fldChar w:fldCharType="separate"/>
        </w:r>
        <w:r w:rsidR="00943631">
          <w:rPr>
            <w:webHidden/>
          </w:rPr>
          <w:t>8</w:t>
        </w:r>
        <w:r w:rsidR="00943631">
          <w:rPr>
            <w:webHidden/>
          </w:rPr>
          <w:fldChar w:fldCharType="end"/>
        </w:r>
      </w:hyperlink>
    </w:p>
    <w:p w14:paraId="7B17E4C4" w14:textId="26924A5C" w:rsidR="00943631" w:rsidRDefault="008C4830">
      <w:pPr>
        <w:pStyle w:val="TOC2"/>
        <w:rPr>
          <w:rFonts w:asciiTheme="minorHAnsi" w:eastAsiaTheme="minorEastAsia" w:hAnsiTheme="minorHAnsi" w:cstheme="minorBidi"/>
          <w:spacing w:val="0"/>
          <w:sz w:val="22"/>
          <w:szCs w:val="22"/>
        </w:rPr>
      </w:pPr>
      <w:hyperlink w:anchor="_Toc113546299" w:history="1">
        <w:r w:rsidR="00943631" w:rsidRPr="00AC14B9">
          <w:rPr>
            <w:rStyle w:val="Hyperlink"/>
          </w:rPr>
          <w:t xml:space="preserve">Principle 5: Conversions in solus markets currently underway to </w:t>
        </w:r>
        <w:r w:rsidR="00943631">
          <w:rPr>
            <w:rStyle w:val="Hyperlink"/>
          </w:rPr>
          <w:br/>
        </w:r>
        <w:r w:rsidR="00943631" w:rsidRPr="00AC14B9">
          <w:rPr>
            <w:rStyle w:val="Hyperlink"/>
          </w:rPr>
          <w:t>be finalised</w:t>
        </w:r>
        <w:r w:rsidR="00943631">
          <w:rPr>
            <w:webHidden/>
          </w:rPr>
          <w:tab/>
        </w:r>
        <w:r w:rsidR="00943631">
          <w:rPr>
            <w:webHidden/>
          </w:rPr>
          <w:fldChar w:fldCharType="begin"/>
        </w:r>
        <w:r w:rsidR="00943631">
          <w:rPr>
            <w:webHidden/>
          </w:rPr>
          <w:instrText xml:space="preserve"> PAGEREF _Toc113546299 \h </w:instrText>
        </w:r>
        <w:r w:rsidR="00943631">
          <w:rPr>
            <w:webHidden/>
          </w:rPr>
        </w:r>
        <w:r w:rsidR="00943631">
          <w:rPr>
            <w:webHidden/>
          </w:rPr>
          <w:fldChar w:fldCharType="separate"/>
        </w:r>
        <w:r w:rsidR="00943631">
          <w:rPr>
            <w:webHidden/>
          </w:rPr>
          <w:t>9</w:t>
        </w:r>
        <w:r w:rsidR="00943631">
          <w:rPr>
            <w:webHidden/>
          </w:rPr>
          <w:fldChar w:fldCharType="end"/>
        </w:r>
      </w:hyperlink>
    </w:p>
    <w:p w14:paraId="5EB02CF6" w14:textId="553B5F92" w:rsidR="00943631" w:rsidRDefault="008C4830">
      <w:pPr>
        <w:pStyle w:val="TOC2"/>
        <w:rPr>
          <w:rFonts w:asciiTheme="minorHAnsi" w:eastAsiaTheme="minorEastAsia" w:hAnsiTheme="minorHAnsi" w:cstheme="minorBidi"/>
          <w:spacing w:val="0"/>
          <w:sz w:val="22"/>
          <w:szCs w:val="22"/>
        </w:rPr>
      </w:pPr>
      <w:hyperlink w:anchor="_Toc113546300" w:history="1">
        <w:r w:rsidR="00943631" w:rsidRPr="00AC14B9">
          <w:rPr>
            <w:rStyle w:val="Hyperlink"/>
          </w:rPr>
          <w:t xml:space="preserve">Principle 6: Industry to agree on proceeding with conversion </w:t>
        </w:r>
        <w:r w:rsidR="00943631">
          <w:rPr>
            <w:rStyle w:val="Hyperlink"/>
          </w:rPr>
          <w:br/>
        </w:r>
        <w:r w:rsidR="00943631" w:rsidRPr="00AC14B9">
          <w:rPr>
            <w:rStyle w:val="Hyperlink"/>
          </w:rPr>
          <w:t>in competitive markets</w:t>
        </w:r>
        <w:r w:rsidR="00943631">
          <w:rPr>
            <w:webHidden/>
          </w:rPr>
          <w:tab/>
        </w:r>
        <w:r w:rsidR="00943631">
          <w:rPr>
            <w:webHidden/>
          </w:rPr>
          <w:fldChar w:fldCharType="begin"/>
        </w:r>
        <w:r w:rsidR="00943631">
          <w:rPr>
            <w:webHidden/>
          </w:rPr>
          <w:instrText xml:space="preserve"> PAGEREF _Toc113546300 \h </w:instrText>
        </w:r>
        <w:r w:rsidR="00943631">
          <w:rPr>
            <w:webHidden/>
          </w:rPr>
        </w:r>
        <w:r w:rsidR="00943631">
          <w:rPr>
            <w:webHidden/>
          </w:rPr>
          <w:fldChar w:fldCharType="separate"/>
        </w:r>
        <w:r w:rsidR="00943631">
          <w:rPr>
            <w:webHidden/>
          </w:rPr>
          <w:t>9</w:t>
        </w:r>
        <w:r w:rsidR="00943631">
          <w:rPr>
            <w:webHidden/>
          </w:rPr>
          <w:fldChar w:fldCharType="end"/>
        </w:r>
      </w:hyperlink>
    </w:p>
    <w:p w14:paraId="27B9B9A7" w14:textId="61CE4E10" w:rsidR="00943631" w:rsidRDefault="008C4830">
      <w:pPr>
        <w:pStyle w:val="TOC2"/>
        <w:rPr>
          <w:rFonts w:asciiTheme="minorHAnsi" w:eastAsiaTheme="minorEastAsia" w:hAnsiTheme="minorHAnsi" w:cstheme="minorBidi"/>
          <w:spacing w:val="0"/>
          <w:sz w:val="22"/>
          <w:szCs w:val="22"/>
        </w:rPr>
      </w:pPr>
      <w:hyperlink w:anchor="_Toc113546301" w:history="1">
        <w:r w:rsidR="00943631" w:rsidRPr="00AC14B9">
          <w:rPr>
            <w:rStyle w:val="Hyperlink"/>
          </w:rPr>
          <w:t xml:space="preserve">Principle 7: Site selection and technical specifications to </w:t>
        </w:r>
        <w:r w:rsidR="00943631">
          <w:rPr>
            <w:rStyle w:val="Hyperlink"/>
          </w:rPr>
          <w:br/>
        </w:r>
        <w:r w:rsidR="00943631" w:rsidRPr="00AC14B9">
          <w:rPr>
            <w:rStyle w:val="Hyperlink"/>
          </w:rPr>
          <w:t>maximise spectrum efficiency</w:t>
        </w:r>
        <w:r w:rsidR="00943631">
          <w:rPr>
            <w:webHidden/>
          </w:rPr>
          <w:tab/>
        </w:r>
        <w:r w:rsidR="00943631">
          <w:rPr>
            <w:webHidden/>
          </w:rPr>
          <w:fldChar w:fldCharType="begin"/>
        </w:r>
        <w:r w:rsidR="00943631">
          <w:rPr>
            <w:webHidden/>
          </w:rPr>
          <w:instrText xml:space="preserve"> PAGEREF _Toc113546301 \h </w:instrText>
        </w:r>
        <w:r w:rsidR="00943631">
          <w:rPr>
            <w:webHidden/>
          </w:rPr>
        </w:r>
        <w:r w:rsidR="00943631">
          <w:rPr>
            <w:webHidden/>
          </w:rPr>
          <w:fldChar w:fldCharType="separate"/>
        </w:r>
        <w:r w:rsidR="00943631">
          <w:rPr>
            <w:webHidden/>
          </w:rPr>
          <w:t>10</w:t>
        </w:r>
        <w:r w:rsidR="00943631">
          <w:rPr>
            <w:webHidden/>
          </w:rPr>
          <w:fldChar w:fldCharType="end"/>
        </w:r>
      </w:hyperlink>
    </w:p>
    <w:p w14:paraId="1B13FECE" w14:textId="3E6CD7F4" w:rsidR="00943631" w:rsidRDefault="008C4830">
      <w:pPr>
        <w:pStyle w:val="TOC2"/>
        <w:rPr>
          <w:rFonts w:asciiTheme="minorHAnsi" w:eastAsiaTheme="minorEastAsia" w:hAnsiTheme="minorHAnsi" w:cstheme="minorBidi"/>
          <w:spacing w:val="0"/>
          <w:sz w:val="22"/>
          <w:szCs w:val="22"/>
        </w:rPr>
      </w:pPr>
      <w:hyperlink w:anchor="_Toc113546302" w:history="1">
        <w:r w:rsidR="00943631" w:rsidRPr="00AC14B9">
          <w:rPr>
            <w:rStyle w:val="Hyperlink"/>
          </w:rPr>
          <w:t>Principle 8: Existing licence areas to stay the same</w:t>
        </w:r>
        <w:r w:rsidR="00943631">
          <w:rPr>
            <w:webHidden/>
          </w:rPr>
          <w:tab/>
        </w:r>
        <w:r w:rsidR="00943631">
          <w:rPr>
            <w:webHidden/>
          </w:rPr>
          <w:fldChar w:fldCharType="begin"/>
        </w:r>
        <w:r w:rsidR="00943631">
          <w:rPr>
            <w:webHidden/>
          </w:rPr>
          <w:instrText xml:space="preserve"> PAGEREF _Toc113546302 \h </w:instrText>
        </w:r>
        <w:r w:rsidR="00943631">
          <w:rPr>
            <w:webHidden/>
          </w:rPr>
        </w:r>
        <w:r w:rsidR="00943631">
          <w:rPr>
            <w:webHidden/>
          </w:rPr>
          <w:fldChar w:fldCharType="separate"/>
        </w:r>
        <w:r w:rsidR="00943631">
          <w:rPr>
            <w:webHidden/>
          </w:rPr>
          <w:t>10</w:t>
        </w:r>
        <w:r w:rsidR="00943631">
          <w:rPr>
            <w:webHidden/>
          </w:rPr>
          <w:fldChar w:fldCharType="end"/>
        </w:r>
      </w:hyperlink>
    </w:p>
    <w:p w14:paraId="6922F515" w14:textId="5D1C06DE" w:rsidR="00943631" w:rsidRDefault="008C4830">
      <w:pPr>
        <w:pStyle w:val="TOC1"/>
        <w:rPr>
          <w:rFonts w:asciiTheme="minorHAnsi" w:eastAsiaTheme="minorEastAsia" w:hAnsiTheme="minorHAnsi" w:cstheme="minorBidi"/>
          <w:b w:val="0"/>
          <w:spacing w:val="0"/>
          <w:sz w:val="22"/>
          <w:szCs w:val="22"/>
        </w:rPr>
      </w:pPr>
      <w:hyperlink w:anchor="_Toc113546303" w:history="1">
        <w:r w:rsidR="00943631" w:rsidRPr="00AC14B9">
          <w:rPr>
            <w:rStyle w:val="Hyperlink"/>
          </w:rPr>
          <w:t>Process for conversions</w:t>
        </w:r>
        <w:r w:rsidR="00943631">
          <w:rPr>
            <w:webHidden/>
          </w:rPr>
          <w:tab/>
        </w:r>
        <w:r w:rsidR="00943631">
          <w:rPr>
            <w:webHidden/>
          </w:rPr>
          <w:fldChar w:fldCharType="begin"/>
        </w:r>
        <w:r w:rsidR="00943631">
          <w:rPr>
            <w:webHidden/>
          </w:rPr>
          <w:instrText xml:space="preserve"> PAGEREF _Toc113546303 \h </w:instrText>
        </w:r>
        <w:r w:rsidR="00943631">
          <w:rPr>
            <w:webHidden/>
          </w:rPr>
        </w:r>
        <w:r w:rsidR="00943631">
          <w:rPr>
            <w:webHidden/>
          </w:rPr>
          <w:fldChar w:fldCharType="separate"/>
        </w:r>
        <w:r w:rsidR="00943631">
          <w:rPr>
            <w:webHidden/>
          </w:rPr>
          <w:t>11</w:t>
        </w:r>
        <w:r w:rsidR="00943631">
          <w:rPr>
            <w:webHidden/>
          </w:rPr>
          <w:fldChar w:fldCharType="end"/>
        </w:r>
      </w:hyperlink>
    </w:p>
    <w:p w14:paraId="7D211512" w14:textId="46D4A709" w:rsidR="00943631" w:rsidRDefault="008C4830">
      <w:pPr>
        <w:pStyle w:val="TOC2"/>
        <w:rPr>
          <w:rFonts w:asciiTheme="minorHAnsi" w:eastAsiaTheme="minorEastAsia" w:hAnsiTheme="minorHAnsi" w:cstheme="minorBidi"/>
          <w:spacing w:val="0"/>
          <w:sz w:val="22"/>
          <w:szCs w:val="22"/>
        </w:rPr>
      </w:pPr>
      <w:hyperlink w:anchor="_Toc113546304" w:history="1">
        <w:r w:rsidR="00943631" w:rsidRPr="00AC14B9">
          <w:rPr>
            <w:rStyle w:val="Hyperlink"/>
          </w:rPr>
          <w:t>1: Industry to request conversions</w:t>
        </w:r>
        <w:r w:rsidR="00943631">
          <w:rPr>
            <w:webHidden/>
          </w:rPr>
          <w:tab/>
        </w:r>
        <w:r w:rsidR="00943631">
          <w:rPr>
            <w:webHidden/>
          </w:rPr>
          <w:fldChar w:fldCharType="begin"/>
        </w:r>
        <w:r w:rsidR="00943631">
          <w:rPr>
            <w:webHidden/>
          </w:rPr>
          <w:instrText xml:space="preserve"> PAGEREF _Toc113546304 \h </w:instrText>
        </w:r>
        <w:r w:rsidR="00943631">
          <w:rPr>
            <w:webHidden/>
          </w:rPr>
        </w:r>
        <w:r w:rsidR="00943631">
          <w:rPr>
            <w:webHidden/>
          </w:rPr>
          <w:fldChar w:fldCharType="separate"/>
        </w:r>
        <w:r w:rsidR="00943631">
          <w:rPr>
            <w:webHidden/>
          </w:rPr>
          <w:t>11</w:t>
        </w:r>
        <w:r w:rsidR="00943631">
          <w:rPr>
            <w:webHidden/>
          </w:rPr>
          <w:fldChar w:fldCharType="end"/>
        </w:r>
      </w:hyperlink>
    </w:p>
    <w:p w14:paraId="793249B3" w14:textId="6E8403BA" w:rsidR="00943631" w:rsidRDefault="008C4830">
      <w:pPr>
        <w:pStyle w:val="TOC2"/>
        <w:rPr>
          <w:rFonts w:asciiTheme="minorHAnsi" w:eastAsiaTheme="minorEastAsia" w:hAnsiTheme="minorHAnsi" w:cstheme="minorBidi"/>
          <w:spacing w:val="0"/>
          <w:sz w:val="22"/>
          <w:szCs w:val="22"/>
        </w:rPr>
      </w:pPr>
      <w:hyperlink w:anchor="_Toc113546305" w:history="1">
        <w:r w:rsidR="00943631" w:rsidRPr="00AC14B9">
          <w:rPr>
            <w:rStyle w:val="Hyperlink"/>
          </w:rPr>
          <w:t>2: Industry consultants to develop technical planning solutions for conversions for the ACMA’s consideration</w:t>
        </w:r>
        <w:r w:rsidR="00943631">
          <w:rPr>
            <w:webHidden/>
          </w:rPr>
          <w:tab/>
        </w:r>
        <w:r w:rsidR="00943631">
          <w:rPr>
            <w:webHidden/>
          </w:rPr>
          <w:fldChar w:fldCharType="begin"/>
        </w:r>
        <w:r w:rsidR="00943631">
          <w:rPr>
            <w:webHidden/>
          </w:rPr>
          <w:instrText xml:space="preserve"> PAGEREF _Toc113546305 \h </w:instrText>
        </w:r>
        <w:r w:rsidR="00943631">
          <w:rPr>
            <w:webHidden/>
          </w:rPr>
        </w:r>
        <w:r w:rsidR="00943631">
          <w:rPr>
            <w:webHidden/>
          </w:rPr>
          <w:fldChar w:fldCharType="separate"/>
        </w:r>
        <w:r w:rsidR="00943631">
          <w:rPr>
            <w:webHidden/>
          </w:rPr>
          <w:t>11</w:t>
        </w:r>
        <w:r w:rsidR="00943631">
          <w:rPr>
            <w:webHidden/>
          </w:rPr>
          <w:fldChar w:fldCharType="end"/>
        </w:r>
      </w:hyperlink>
    </w:p>
    <w:p w14:paraId="1942431A" w14:textId="57433EE2" w:rsidR="00943631" w:rsidRDefault="008C4830">
      <w:pPr>
        <w:pStyle w:val="TOC2"/>
        <w:rPr>
          <w:rFonts w:asciiTheme="minorHAnsi" w:eastAsiaTheme="minorEastAsia" w:hAnsiTheme="minorHAnsi" w:cstheme="minorBidi"/>
          <w:spacing w:val="0"/>
          <w:sz w:val="22"/>
          <w:szCs w:val="22"/>
        </w:rPr>
      </w:pPr>
      <w:hyperlink w:anchor="_Toc113546306" w:history="1">
        <w:r w:rsidR="00943631" w:rsidRPr="00AC14B9">
          <w:rPr>
            <w:rStyle w:val="Hyperlink"/>
          </w:rPr>
          <w:t>3: ACMA to consider spectrum needs in the wider area</w:t>
        </w:r>
        <w:r w:rsidR="00943631">
          <w:rPr>
            <w:webHidden/>
          </w:rPr>
          <w:tab/>
        </w:r>
        <w:r w:rsidR="00943631">
          <w:rPr>
            <w:webHidden/>
          </w:rPr>
          <w:fldChar w:fldCharType="begin"/>
        </w:r>
        <w:r w:rsidR="00943631">
          <w:rPr>
            <w:webHidden/>
          </w:rPr>
          <w:instrText xml:space="preserve"> PAGEREF _Toc113546306 \h </w:instrText>
        </w:r>
        <w:r w:rsidR="00943631">
          <w:rPr>
            <w:webHidden/>
          </w:rPr>
        </w:r>
        <w:r w:rsidR="00943631">
          <w:rPr>
            <w:webHidden/>
          </w:rPr>
          <w:fldChar w:fldCharType="separate"/>
        </w:r>
        <w:r w:rsidR="00943631">
          <w:rPr>
            <w:webHidden/>
          </w:rPr>
          <w:t>11</w:t>
        </w:r>
        <w:r w:rsidR="00943631">
          <w:rPr>
            <w:webHidden/>
          </w:rPr>
          <w:fldChar w:fldCharType="end"/>
        </w:r>
      </w:hyperlink>
    </w:p>
    <w:p w14:paraId="1E1505A7" w14:textId="22CBD8B0" w:rsidR="00943631" w:rsidRDefault="008C4830">
      <w:pPr>
        <w:pStyle w:val="TOC2"/>
        <w:rPr>
          <w:rFonts w:asciiTheme="minorHAnsi" w:eastAsiaTheme="minorEastAsia" w:hAnsiTheme="minorHAnsi" w:cstheme="minorBidi"/>
          <w:spacing w:val="0"/>
          <w:sz w:val="22"/>
          <w:szCs w:val="22"/>
        </w:rPr>
      </w:pPr>
      <w:hyperlink w:anchor="_Toc113546307" w:history="1">
        <w:r w:rsidR="00943631" w:rsidRPr="00AC14B9">
          <w:rPr>
            <w:rStyle w:val="Hyperlink"/>
          </w:rPr>
          <w:t>4: ACMA to assess all planning requests for a licence area together</w:t>
        </w:r>
        <w:r w:rsidR="00943631">
          <w:rPr>
            <w:webHidden/>
          </w:rPr>
          <w:tab/>
        </w:r>
        <w:r w:rsidR="00943631">
          <w:rPr>
            <w:webHidden/>
          </w:rPr>
          <w:fldChar w:fldCharType="begin"/>
        </w:r>
        <w:r w:rsidR="00943631">
          <w:rPr>
            <w:webHidden/>
          </w:rPr>
          <w:instrText xml:space="preserve"> PAGEREF _Toc113546307 \h </w:instrText>
        </w:r>
        <w:r w:rsidR="00943631">
          <w:rPr>
            <w:webHidden/>
          </w:rPr>
        </w:r>
        <w:r w:rsidR="00943631">
          <w:rPr>
            <w:webHidden/>
          </w:rPr>
          <w:fldChar w:fldCharType="separate"/>
        </w:r>
        <w:r w:rsidR="00943631">
          <w:rPr>
            <w:webHidden/>
          </w:rPr>
          <w:t>12</w:t>
        </w:r>
        <w:r w:rsidR="00943631">
          <w:rPr>
            <w:webHidden/>
          </w:rPr>
          <w:fldChar w:fldCharType="end"/>
        </w:r>
      </w:hyperlink>
    </w:p>
    <w:p w14:paraId="27869CE7" w14:textId="4295967A" w:rsidR="00943631" w:rsidRDefault="008C4830">
      <w:pPr>
        <w:pStyle w:val="TOC2"/>
        <w:rPr>
          <w:rFonts w:asciiTheme="minorHAnsi" w:eastAsiaTheme="minorEastAsia" w:hAnsiTheme="minorHAnsi" w:cstheme="minorBidi"/>
          <w:spacing w:val="0"/>
          <w:sz w:val="22"/>
          <w:szCs w:val="22"/>
        </w:rPr>
      </w:pPr>
      <w:hyperlink w:anchor="_Toc113546308" w:history="1">
        <w:r w:rsidR="00943631" w:rsidRPr="00AC14B9">
          <w:rPr>
            <w:rStyle w:val="Hyperlink"/>
          </w:rPr>
          <w:t xml:space="preserve">5: ACMA to consult on the conversion work program and other </w:t>
        </w:r>
        <w:r w:rsidR="00943631">
          <w:rPr>
            <w:rStyle w:val="Hyperlink"/>
          </w:rPr>
          <w:br/>
        </w:r>
        <w:r w:rsidR="00943631" w:rsidRPr="00AC14B9">
          <w:rPr>
            <w:rStyle w:val="Hyperlink"/>
          </w:rPr>
          <w:t>planning priority activities</w:t>
        </w:r>
        <w:r w:rsidR="00943631">
          <w:rPr>
            <w:webHidden/>
          </w:rPr>
          <w:tab/>
        </w:r>
        <w:r w:rsidR="00943631">
          <w:rPr>
            <w:webHidden/>
          </w:rPr>
          <w:fldChar w:fldCharType="begin"/>
        </w:r>
        <w:r w:rsidR="00943631">
          <w:rPr>
            <w:webHidden/>
          </w:rPr>
          <w:instrText xml:space="preserve"> PAGEREF _Toc113546308 \h </w:instrText>
        </w:r>
        <w:r w:rsidR="00943631">
          <w:rPr>
            <w:webHidden/>
          </w:rPr>
        </w:r>
        <w:r w:rsidR="00943631">
          <w:rPr>
            <w:webHidden/>
          </w:rPr>
          <w:fldChar w:fldCharType="separate"/>
        </w:r>
        <w:r w:rsidR="00943631">
          <w:rPr>
            <w:webHidden/>
          </w:rPr>
          <w:t>12</w:t>
        </w:r>
        <w:r w:rsidR="00943631">
          <w:rPr>
            <w:webHidden/>
          </w:rPr>
          <w:fldChar w:fldCharType="end"/>
        </w:r>
      </w:hyperlink>
    </w:p>
    <w:p w14:paraId="723E1D76" w14:textId="6F76AB73" w:rsidR="00943631" w:rsidRDefault="008C4830">
      <w:pPr>
        <w:pStyle w:val="TOC2"/>
        <w:rPr>
          <w:rFonts w:asciiTheme="minorHAnsi" w:eastAsiaTheme="minorEastAsia" w:hAnsiTheme="minorHAnsi" w:cstheme="minorBidi"/>
          <w:spacing w:val="0"/>
          <w:sz w:val="22"/>
          <w:szCs w:val="22"/>
        </w:rPr>
      </w:pPr>
      <w:hyperlink w:anchor="_Toc113546309" w:history="1">
        <w:r w:rsidR="00943631" w:rsidRPr="00AC14B9">
          <w:rPr>
            <w:rStyle w:val="Hyperlink"/>
          </w:rPr>
          <w:t>6: ACMA to consult on LAP variations when they are ready</w:t>
        </w:r>
        <w:r w:rsidR="00943631">
          <w:rPr>
            <w:webHidden/>
          </w:rPr>
          <w:tab/>
        </w:r>
        <w:r w:rsidR="00943631">
          <w:rPr>
            <w:webHidden/>
          </w:rPr>
          <w:fldChar w:fldCharType="begin"/>
        </w:r>
        <w:r w:rsidR="00943631">
          <w:rPr>
            <w:webHidden/>
          </w:rPr>
          <w:instrText xml:space="preserve"> PAGEREF _Toc113546309 \h </w:instrText>
        </w:r>
        <w:r w:rsidR="00943631">
          <w:rPr>
            <w:webHidden/>
          </w:rPr>
        </w:r>
        <w:r w:rsidR="00943631">
          <w:rPr>
            <w:webHidden/>
          </w:rPr>
          <w:fldChar w:fldCharType="separate"/>
        </w:r>
        <w:r w:rsidR="00943631">
          <w:rPr>
            <w:webHidden/>
          </w:rPr>
          <w:t>13</w:t>
        </w:r>
        <w:r w:rsidR="00943631">
          <w:rPr>
            <w:webHidden/>
          </w:rPr>
          <w:fldChar w:fldCharType="end"/>
        </w:r>
      </w:hyperlink>
    </w:p>
    <w:p w14:paraId="53FD2603" w14:textId="7FBA97EA" w:rsidR="00943631" w:rsidRDefault="008C4830">
      <w:pPr>
        <w:pStyle w:val="TOC1"/>
        <w:rPr>
          <w:rFonts w:asciiTheme="minorHAnsi" w:eastAsiaTheme="minorEastAsia" w:hAnsiTheme="minorHAnsi" w:cstheme="minorBidi"/>
          <w:b w:val="0"/>
          <w:spacing w:val="0"/>
          <w:sz w:val="22"/>
          <w:szCs w:val="22"/>
        </w:rPr>
      </w:pPr>
      <w:hyperlink w:anchor="_Toc113546310" w:history="1">
        <w:r w:rsidR="00943631" w:rsidRPr="00AC14B9">
          <w:rPr>
            <w:rStyle w:val="Hyperlink"/>
          </w:rPr>
          <w:t xml:space="preserve">Appendix: Interdependencies between regional </w:t>
        </w:r>
        <w:r w:rsidR="00943631">
          <w:rPr>
            <w:rStyle w:val="Hyperlink"/>
          </w:rPr>
          <w:br/>
        </w:r>
        <w:r w:rsidR="00943631" w:rsidRPr="00AC14B9">
          <w:rPr>
            <w:rStyle w:val="Hyperlink"/>
          </w:rPr>
          <w:t>licence areas</w:t>
        </w:r>
        <w:r w:rsidR="00943631">
          <w:rPr>
            <w:webHidden/>
          </w:rPr>
          <w:tab/>
        </w:r>
        <w:r w:rsidR="00943631">
          <w:rPr>
            <w:webHidden/>
          </w:rPr>
          <w:fldChar w:fldCharType="begin"/>
        </w:r>
        <w:r w:rsidR="00943631">
          <w:rPr>
            <w:webHidden/>
          </w:rPr>
          <w:instrText xml:space="preserve"> PAGEREF _Toc113546310 \h </w:instrText>
        </w:r>
        <w:r w:rsidR="00943631">
          <w:rPr>
            <w:webHidden/>
          </w:rPr>
        </w:r>
        <w:r w:rsidR="00943631">
          <w:rPr>
            <w:webHidden/>
          </w:rPr>
          <w:fldChar w:fldCharType="separate"/>
        </w:r>
        <w:r w:rsidR="00943631">
          <w:rPr>
            <w:webHidden/>
          </w:rPr>
          <w:t>14</w:t>
        </w:r>
        <w:r w:rsidR="00943631">
          <w:rPr>
            <w:webHidden/>
          </w:rPr>
          <w:fldChar w:fldCharType="end"/>
        </w:r>
      </w:hyperlink>
    </w:p>
    <w:p w14:paraId="4633577C" w14:textId="31A81B88" w:rsidR="004D56FF" w:rsidRPr="000D76E0" w:rsidRDefault="00FB3192">
      <w:pPr>
        <w:rPr>
          <w:rFonts w:cs="Arial"/>
        </w:rPr>
        <w:sectPr w:rsidR="004D56FF" w:rsidRPr="000D76E0" w:rsidSect="00C77380">
          <w:headerReference w:type="even" r:id="rId19"/>
          <w:headerReference w:type="default" r:id="rId20"/>
          <w:footerReference w:type="even" r:id="rId21"/>
          <w:footerReference w:type="default" r:id="rId22"/>
          <w:footerReference w:type="first" r:id="rId23"/>
          <w:pgSz w:w="11906" w:h="16838" w:code="9"/>
          <w:pgMar w:top="3646" w:right="3101" w:bottom="1134" w:left="1134" w:header="709" w:footer="119" w:gutter="0"/>
          <w:cols w:space="708"/>
          <w:titlePg/>
          <w:docGrid w:linePitch="360"/>
        </w:sectPr>
      </w:pPr>
      <w:r w:rsidRPr="002437BA">
        <w:rPr>
          <w:rFonts w:cs="Arial"/>
          <w:b/>
          <w:noProof/>
          <w:spacing w:val="-14"/>
          <w:sz w:val="28"/>
        </w:rPr>
        <w:fldChar w:fldCharType="end"/>
      </w:r>
      <w:r w:rsidR="00683E01">
        <w:rPr>
          <w:rFonts w:cs="Arial"/>
          <w:noProof/>
          <w:spacing w:val="-14"/>
          <w:sz w:val="28"/>
        </w:rPr>
        <w:t xml:space="preserve"> </w:t>
      </w:r>
    </w:p>
    <w:p w14:paraId="0B386CE0" w14:textId="77777777" w:rsidR="00AD5825" w:rsidRDefault="00AD5825" w:rsidP="00AD5825">
      <w:pPr>
        <w:pStyle w:val="Heading1"/>
      </w:pPr>
      <w:bookmarkStart w:id="0" w:name="_Toc113546285"/>
      <w:r>
        <w:lastRenderedPageBreak/>
        <w:t>Overview</w:t>
      </w:r>
      <w:bookmarkEnd w:id="0"/>
    </w:p>
    <w:p w14:paraId="0EB5802E" w14:textId="77777777" w:rsidR="00AD5825" w:rsidRPr="00FB3192" w:rsidRDefault="00AD5825" w:rsidP="00AD5825">
      <w:pPr>
        <w:pStyle w:val="Heading2"/>
      </w:pPr>
      <w:bookmarkStart w:id="1" w:name="_Toc113546286"/>
      <w:r>
        <w:t>Why we have adopted planning principles for conversions</w:t>
      </w:r>
      <w:bookmarkEnd w:id="1"/>
    </w:p>
    <w:p w14:paraId="64031E07" w14:textId="77777777" w:rsidR="00AD5825" w:rsidRDefault="00AD5825" w:rsidP="00AD5825">
      <w:pPr>
        <w:pStyle w:val="Paragraph"/>
        <w:rPr>
          <w:szCs w:val="20"/>
        </w:rPr>
      </w:pPr>
      <w:bookmarkStart w:id="2" w:name="_Toc433122125"/>
      <w:r>
        <w:t xml:space="preserve">FM conversion of AM services in regional areas has the potential to improve listener experience and support industry as it adapts to changing listener preferences. </w:t>
      </w:r>
      <w:r>
        <w:rPr>
          <w:szCs w:val="20"/>
        </w:rPr>
        <w:t>FM conversion can</w:t>
      </w:r>
      <w:r w:rsidRPr="00506BA2">
        <w:rPr>
          <w:szCs w:val="20"/>
        </w:rPr>
        <w:t xml:space="preserve"> deliver improved audio quality, reduced signal interference and lower costs</w:t>
      </w:r>
      <w:r>
        <w:rPr>
          <w:szCs w:val="20"/>
        </w:rPr>
        <w:t xml:space="preserve"> for broadcasters.</w:t>
      </w:r>
    </w:p>
    <w:p w14:paraId="66A3F105" w14:textId="42891202" w:rsidR="00AD5825" w:rsidRDefault="00AD5825" w:rsidP="00AD5825">
      <w:pPr>
        <w:pStyle w:val="Paragraph"/>
      </w:pPr>
      <w:r>
        <w:t>Since 2016, the Australian Communications and Media Authority (ACMA) has been working through a program to convert AM radio services to FM in solus (single licensee) regional commercial radio licence areas.</w:t>
      </w:r>
      <w:r w:rsidR="00DE4399">
        <w:t xml:space="preserve"> </w:t>
      </w:r>
      <w:r w:rsidR="00C6441B">
        <w:t xml:space="preserve">As at August 2022, </w:t>
      </w:r>
      <w:r w:rsidR="00DE4399">
        <w:t>we ha</w:t>
      </w:r>
      <w:r w:rsidR="004F1A39">
        <w:t>d</w:t>
      </w:r>
      <w:r w:rsidR="00DE4399">
        <w:t xml:space="preserve"> converted </w:t>
      </w:r>
      <w:r w:rsidR="00DE4399" w:rsidRPr="00FF7692">
        <w:t>2</w:t>
      </w:r>
      <w:r w:rsidR="00FF7692" w:rsidRPr="00BC0C61">
        <w:t>3</w:t>
      </w:r>
      <w:r w:rsidR="00DE4399">
        <w:t xml:space="preserve"> of the 38 solus market licensees </w:t>
      </w:r>
      <w:r w:rsidR="004F1A39">
        <w:t xml:space="preserve">seeking </w:t>
      </w:r>
      <w:r w:rsidR="00DE4399">
        <w:t>conversions.</w:t>
      </w:r>
    </w:p>
    <w:p w14:paraId="3A623E09" w14:textId="60341B78" w:rsidR="00AD5825" w:rsidRDefault="00AD5825" w:rsidP="00AD5825">
      <w:pPr>
        <w:pStyle w:val="Paragraph"/>
      </w:pPr>
      <w:r>
        <w:t>We began conversions in areas where spare FM spectrum was easiest to identify. As we move through the solus market program in areas where spectrum is congested, finding suitable spectrum is more difficult</w:t>
      </w:r>
      <w:r w:rsidR="004F1A39">
        <w:t>,</w:t>
      </w:r>
      <w:r>
        <w:t xml:space="preserve"> with some listeners losing reception. </w:t>
      </w:r>
    </w:p>
    <w:p w14:paraId="257F123D" w14:textId="1F84A375" w:rsidR="00C6441B" w:rsidRDefault="00C6441B" w:rsidP="00AD5825">
      <w:pPr>
        <w:pStyle w:val="Paragraph"/>
      </w:pPr>
      <w:r>
        <w:t>We have identified conversions as one of our broadcast</w:t>
      </w:r>
      <w:r w:rsidR="00016103">
        <w:t>ing</w:t>
      </w:r>
      <w:r>
        <w:t xml:space="preserve"> spectrum planning priorities</w:t>
      </w:r>
      <w:r w:rsidR="004F1A39">
        <w:t>,</w:t>
      </w:r>
      <w:r>
        <w:t xml:space="preserve"> as they deliver outcomes for both listeners and industry. Improving coverage of existing services, planning for digital radio in regional areas where industry is committed to rolling out, and facilitating trials of new technologies are our other current broadcast planning focus areas.</w:t>
      </w:r>
    </w:p>
    <w:p w14:paraId="65F2A45A" w14:textId="764E0298" w:rsidR="00AD5825" w:rsidRDefault="00AD5825" w:rsidP="00AD5825">
      <w:pPr>
        <w:pStyle w:val="Paragraph"/>
      </w:pPr>
      <w:r>
        <w:t>While we continue to work with licensees in the remaining solus licence areas to find solutions</w:t>
      </w:r>
      <w:r w:rsidR="00C6441B">
        <w:t xml:space="preserve"> and continue our other priority broadcast planning work</w:t>
      </w:r>
      <w:r>
        <w:t>, we are opening the program to other regional licence areas so we can deliver the benefits of FM to more regional listeners and broadcasters.</w:t>
      </w:r>
    </w:p>
    <w:p w14:paraId="2897FCAB" w14:textId="119A4EC7" w:rsidR="00AD5825" w:rsidRDefault="00A953AA" w:rsidP="00AD5825">
      <w:pPr>
        <w:pStyle w:val="Paragraphbeforelist"/>
      </w:pPr>
      <w:r>
        <w:t>The</w:t>
      </w:r>
      <w:r w:rsidR="00AD5825">
        <w:t xml:space="preserve"> goals of our conversion program are to ensure: </w:t>
      </w:r>
    </w:p>
    <w:p w14:paraId="69C4FC24" w14:textId="77777777" w:rsidR="00AD5825" w:rsidRDefault="00AD5825" w:rsidP="00AD5825">
      <w:pPr>
        <w:pStyle w:val="Bulletlevel1"/>
      </w:pPr>
      <w:r>
        <w:t xml:space="preserve">listeners continue to receive coverage </w:t>
      </w:r>
    </w:p>
    <w:p w14:paraId="4509F0FB" w14:textId="77777777" w:rsidR="00AD5825" w:rsidRDefault="00AD5825" w:rsidP="00AD5825">
      <w:pPr>
        <w:pStyle w:val="Bulletlevel1"/>
      </w:pPr>
      <w:r>
        <w:t>burdens are not imposed on industry by requiring other broadcasters to change frequencies</w:t>
      </w:r>
    </w:p>
    <w:p w14:paraId="296EA959" w14:textId="77777777" w:rsidR="00AD5825" w:rsidRDefault="00AD5825" w:rsidP="00AD5825">
      <w:pPr>
        <w:pStyle w:val="Bulletlevel1last"/>
      </w:pPr>
      <w:r>
        <w:t xml:space="preserve">spectrum efficiency is maximised. </w:t>
      </w:r>
    </w:p>
    <w:p w14:paraId="15637ED8" w14:textId="77777777" w:rsidR="00AD5825" w:rsidRDefault="00AD5825" w:rsidP="00AD5825">
      <w:pPr>
        <w:pStyle w:val="Paragraphbeforelist"/>
      </w:pPr>
      <w:r>
        <w:t xml:space="preserve">Expanding the conversion program to competitive markets requires a </w:t>
      </w:r>
      <w:r w:rsidRPr="00F76D64">
        <w:t>policy approach to deal with</w:t>
      </w:r>
      <w:r>
        <w:t xml:space="preserve"> 3 issues in particular:</w:t>
      </w:r>
    </w:p>
    <w:p w14:paraId="2505F133" w14:textId="3E7F72FB" w:rsidR="00AD5825" w:rsidRDefault="004F1A39" w:rsidP="00AD5825">
      <w:pPr>
        <w:pStyle w:val="Bulletlevel1"/>
      </w:pPr>
      <w:r w:rsidRPr="003157BA">
        <w:rPr>
          <w:b/>
          <w:bCs/>
        </w:rPr>
        <w:t>E</w:t>
      </w:r>
      <w:r w:rsidR="00AD5825" w:rsidRPr="003157BA">
        <w:rPr>
          <w:b/>
          <w:bCs/>
        </w:rPr>
        <w:t>quity issues between licensees</w:t>
      </w:r>
      <w:r w:rsidR="00AD5825">
        <w:t xml:space="preserve"> – the </w:t>
      </w:r>
      <w:r w:rsidR="00AD5825" w:rsidRPr="00F76D64">
        <w:t xml:space="preserve">current policy </w:t>
      </w:r>
      <w:r w:rsidR="00AD5825">
        <w:t xml:space="preserve">is </w:t>
      </w:r>
      <w:r w:rsidR="00AD5825" w:rsidRPr="00F76D64">
        <w:t xml:space="preserve">not suitable as it addresses equity by limiting the conversion to </w:t>
      </w:r>
      <w:r w:rsidR="00AD5825" w:rsidRPr="00FE76CE">
        <w:t>non-competitive</w:t>
      </w:r>
      <w:r w:rsidR="00AD5825" w:rsidRPr="00F76D64">
        <w:t xml:space="preserve"> solus markets</w:t>
      </w:r>
      <w:r w:rsidR="006935D9">
        <w:t>.</w:t>
      </w:r>
    </w:p>
    <w:p w14:paraId="7002E500" w14:textId="3A6AD8DB" w:rsidR="00AD5825" w:rsidRDefault="006935D9" w:rsidP="00AD5825">
      <w:pPr>
        <w:pStyle w:val="Bulletlevel1"/>
      </w:pPr>
      <w:r w:rsidRPr="003157BA">
        <w:rPr>
          <w:b/>
          <w:bCs/>
        </w:rPr>
        <w:t>A</w:t>
      </w:r>
      <w:r w:rsidR="00AD5825" w:rsidRPr="003157BA">
        <w:rPr>
          <w:b/>
          <w:bCs/>
        </w:rPr>
        <w:t xml:space="preserve"> more complex prioritisation process</w:t>
      </w:r>
      <w:r w:rsidR="00AD5825">
        <w:t xml:space="preserve"> – p</w:t>
      </w:r>
      <w:r w:rsidR="00AD5825" w:rsidRPr="00F76D64">
        <w:t>rioritisation for competitive markets has</w:t>
      </w:r>
      <w:r w:rsidR="00AD5825">
        <w:t xml:space="preserve"> more significant</w:t>
      </w:r>
      <w:r w:rsidR="00AD5825" w:rsidRPr="00F76D64">
        <w:t xml:space="preserve"> impact due to competing spectrum demand</w:t>
      </w:r>
      <w:r w:rsidR="00AD5825">
        <w:t xml:space="preserve">, as </w:t>
      </w:r>
      <w:r w:rsidR="00AD5825" w:rsidRPr="00F76D64">
        <w:t>higher priority may mean being able to convert</w:t>
      </w:r>
      <w:r w:rsidR="00A953AA">
        <w:t xml:space="preserve"> to FM</w:t>
      </w:r>
      <w:r w:rsidR="00AD5825" w:rsidRPr="00F76D64">
        <w:t xml:space="preserve"> or getting a better frequency</w:t>
      </w:r>
      <w:r>
        <w:t>.</w:t>
      </w:r>
    </w:p>
    <w:p w14:paraId="3A182909" w14:textId="300E22F3" w:rsidR="00AD5825" w:rsidRDefault="006935D9" w:rsidP="00AD5825">
      <w:pPr>
        <w:pStyle w:val="Bulletlevel1last"/>
      </w:pPr>
      <w:r w:rsidRPr="003157BA">
        <w:rPr>
          <w:b/>
          <w:bCs/>
        </w:rPr>
        <w:t>S</w:t>
      </w:r>
      <w:r w:rsidR="00AD5825" w:rsidRPr="003157BA">
        <w:rPr>
          <w:b/>
          <w:bCs/>
        </w:rPr>
        <w:t>pectrum efficiency</w:t>
      </w:r>
      <w:r w:rsidR="00AD5825">
        <w:t xml:space="preserve"> – which is</w:t>
      </w:r>
      <w:r w:rsidR="00AD5825" w:rsidRPr="00F76D64">
        <w:t xml:space="preserve"> more complex</w:t>
      </w:r>
      <w:r w:rsidR="00AD5825">
        <w:t xml:space="preserve"> and </w:t>
      </w:r>
      <w:r w:rsidR="00AD5825" w:rsidRPr="00F76D64">
        <w:t>important for the competitive markets due to spectrum scarcity</w:t>
      </w:r>
      <w:r w:rsidR="00AD5825">
        <w:t>.</w:t>
      </w:r>
    </w:p>
    <w:p w14:paraId="4BEB17CF" w14:textId="77777777" w:rsidR="00AD5825" w:rsidRDefault="00AD5825" w:rsidP="003157BA">
      <w:pPr>
        <w:pStyle w:val="Paragraph"/>
      </w:pPr>
      <w:r>
        <w:t>We have adopted a set of planning principles to help inform the way we resolve these issues.</w:t>
      </w:r>
      <w:r w:rsidRPr="008C5FCE">
        <w:t xml:space="preserve"> </w:t>
      </w:r>
    </w:p>
    <w:p w14:paraId="14FD3C5D" w14:textId="2CC98EB1" w:rsidR="00AD5825" w:rsidRDefault="00AD5825" w:rsidP="00AD5825">
      <w:pPr>
        <w:pStyle w:val="Paragraph"/>
      </w:pPr>
      <w:r>
        <w:t>Th</w:t>
      </w:r>
      <w:r w:rsidRPr="00F76D64">
        <w:t>e</w:t>
      </w:r>
      <w:r>
        <w:t xml:space="preserve"> planning</w:t>
      </w:r>
      <w:r w:rsidRPr="00F76D64">
        <w:t xml:space="preserve"> principles provide clarity, </w:t>
      </w:r>
      <w:r w:rsidRPr="00C81A16">
        <w:t>transparency</w:t>
      </w:r>
      <w:r w:rsidRPr="00F76D64">
        <w:t xml:space="preserve"> and consistency of our approach to the conversion in terms of eligibility, prioritisation, competitive equity, minimising detriment to existing broadcasters, maintaining services</w:t>
      </w:r>
      <w:r>
        <w:t xml:space="preserve">, </w:t>
      </w:r>
      <w:r w:rsidRPr="00F76D64">
        <w:t xml:space="preserve">improving quality for listeners, limiting coverage loss and maximising spectrum efficiency. </w:t>
      </w:r>
    </w:p>
    <w:p w14:paraId="5B464F5A" w14:textId="22653E61" w:rsidR="00C6441B" w:rsidRDefault="00AD5825" w:rsidP="00AD5825">
      <w:pPr>
        <w:pStyle w:val="Paragraph"/>
        <w:rPr>
          <w:i/>
          <w:iCs/>
        </w:rPr>
      </w:pPr>
      <w:r>
        <w:lastRenderedPageBreak/>
        <w:t xml:space="preserve">These planning principles replace </w:t>
      </w:r>
      <w:hyperlink r:id="rId24" w:history="1">
        <w:r w:rsidRPr="008F6516">
          <w:rPr>
            <w:i/>
            <w:iCs/>
          </w:rPr>
          <w:t>ACMA’s approach to AM–FM conversions and infill transmitters for commercial radio broadcasting services</w:t>
        </w:r>
      </w:hyperlink>
      <w:r w:rsidRPr="008F6516">
        <w:rPr>
          <w:i/>
          <w:iCs/>
        </w:rPr>
        <w:t xml:space="preserve"> – April 2017.</w:t>
      </w:r>
    </w:p>
    <w:p w14:paraId="1E7D5357" w14:textId="77777777" w:rsidR="00AD5825" w:rsidRDefault="00AD5825" w:rsidP="00AD5825">
      <w:pPr>
        <w:pStyle w:val="Heading2"/>
      </w:pPr>
      <w:bookmarkStart w:id="3" w:name="_Toc113546287"/>
      <w:r>
        <w:t>How the planning principles will be applied</w:t>
      </w:r>
      <w:bookmarkEnd w:id="3"/>
    </w:p>
    <w:p w14:paraId="48F2E415" w14:textId="77777777" w:rsidR="00AD5825" w:rsidRDefault="00AD5825" w:rsidP="00AD5825">
      <w:pPr>
        <w:pStyle w:val="Paragraph"/>
      </w:pPr>
      <w:r>
        <w:t xml:space="preserve">The planning principles will apply to commercial radio conversions in the remaining regional solus licence areas and to regional competitive licence areas. </w:t>
      </w:r>
    </w:p>
    <w:p w14:paraId="2924CB4D" w14:textId="77777777" w:rsidR="00AD5825" w:rsidRDefault="00AD5825" w:rsidP="00AD5825">
      <w:pPr>
        <w:pStyle w:val="pf0"/>
        <w:rPr>
          <w:rFonts w:ascii="Arial" w:hAnsi="Arial" w:cs="Arial"/>
          <w:sz w:val="20"/>
        </w:rPr>
      </w:pPr>
      <w:r>
        <w:rPr>
          <w:rFonts w:ascii="Arial" w:hAnsi="Arial" w:cs="Arial"/>
          <w:sz w:val="20"/>
        </w:rPr>
        <w:t>They will help</w:t>
      </w:r>
      <w:r w:rsidRPr="00F76D64">
        <w:rPr>
          <w:rFonts w:ascii="Arial" w:hAnsi="Arial" w:cs="Arial"/>
          <w:sz w:val="20"/>
        </w:rPr>
        <w:t xml:space="preserve"> to identify eligibility for inclusion in the conversion program for industry and to assist </w:t>
      </w:r>
      <w:r>
        <w:rPr>
          <w:rFonts w:ascii="Arial" w:hAnsi="Arial" w:cs="Arial"/>
          <w:sz w:val="20"/>
        </w:rPr>
        <w:t>our</w:t>
      </w:r>
      <w:r w:rsidRPr="00F76D64">
        <w:rPr>
          <w:rFonts w:ascii="Arial" w:hAnsi="Arial" w:cs="Arial"/>
          <w:sz w:val="20"/>
        </w:rPr>
        <w:t xml:space="preserve"> prioritisation of conversion requests. </w:t>
      </w:r>
    </w:p>
    <w:p w14:paraId="0398225E" w14:textId="3DF5D6F3" w:rsidR="00AD5825" w:rsidRDefault="00AD5825" w:rsidP="00AD5825">
      <w:pPr>
        <w:pStyle w:val="Paragraph"/>
      </w:pPr>
      <w:r>
        <w:t>We expect industry</w:t>
      </w:r>
      <w:r w:rsidR="00A953AA">
        <w:t xml:space="preserve"> participants</w:t>
      </w:r>
      <w:r>
        <w:t xml:space="preserve"> to apply these planning principles </w:t>
      </w:r>
      <w:r w:rsidR="00A953AA">
        <w:t>when</w:t>
      </w:r>
      <w:r>
        <w:t xml:space="preserve"> identify</w:t>
      </w:r>
      <w:r w:rsidR="00A953AA">
        <w:t>ing</w:t>
      </w:r>
      <w:r>
        <w:t xml:space="preserve"> which commercial services to convert, and </w:t>
      </w:r>
      <w:r w:rsidR="00A953AA">
        <w:t>when</w:t>
      </w:r>
      <w:r>
        <w:t xml:space="preserve"> engag</w:t>
      </w:r>
      <w:r w:rsidR="00A953AA">
        <w:t>ing</w:t>
      </w:r>
      <w:r>
        <w:t xml:space="preserve"> </w:t>
      </w:r>
      <w:r w:rsidRPr="00506BA2">
        <w:t>consultant engineer</w:t>
      </w:r>
      <w:r>
        <w:t xml:space="preserve">s </w:t>
      </w:r>
      <w:r w:rsidRPr="00506BA2">
        <w:t xml:space="preserve">to </w:t>
      </w:r>
      <w:r>
        <w:t>identify frequencies for conversion</w:t>
      </w:r>
      <w:r w:rsidR="00A953AA">
        <w:t>.</w:t>
      </w:r>
    </w:p>
    <w:p w14:paraId="6D84F6D7" w14:textId="4A8EFF43" w:rsidR="00AD5825" w:rsidRDefault="00AD5825" w:rsidP="00AD5825">
      <w:pPr>
        <w:rPr>
          <w:rFonts w:cs="Arial"/>
        </w:rPr>
      </w:pPr>
      <w:r>
        <w:t>When we receive a conversion request in line with the principles, w</w:t>
      </w:r>
      <w:r w:rsidRPr="00F76D64">
        <w:t>e will apply the statutory requirements</w:t>
      </w:r>
      <w:r>
        <w:t xml:space="preserve"> in the BSA to come to a preliminary view.</w:t>
      </w:r>
      <w:r w:rsidR="00841686">
        <w:t xml:space="preserve"> </w:t>
      </w:r>
      <w:r>
        <w:rPr>
          <w:rFonts w:cs="Arial"/>
        </w:rPr>
        <w:t xml:space="preserve">We will consult on specific proposals </w:t>
      </w:r>
      <w:r w:rsidRPr="003A121D">
        <w:rPr>
          <w:rFonts w:cs="Arial"/>
        </w:rPr>
        <w:t xml:space="preserve">for </w:t>
      </w:r>
      <w:bookmarkStart w:id="4" w:name="_Hlk90985938"/>
      <w:r w:rsidRPr="003A121D">
        <w:rPr>
          <w:rFonts w:cs="Arial"/>
        </w:rPr>
        <w:t>AM to FM</w:t>
      </w:r>
      <w:bookmarkEnd w:id="4"/>
      <w:r w:rsidRPr="003A121D">
        <w:rPr>
          <w:rFonts w:cs="Arial"/>
        </w:rPr>
        <w:t xml:space="preserve"> conversions.</w:t>
      </w:r>
      <w:r>
        <w:rPr>
          <w:rFonts w:cs="Arial"/>
        </w:rPr>
        <w:t xml:space="preserve"> </w:t>
      </w:r>
    </w:p>
    <w:p w14:paraId="20FE8886" w14:textId="205C33F2" w:rsidR="00AD5825" w:rsidRDefault="00AD5825" w:rsidP="00AD5825">
      <w:pPr>
        <w:pStyle w:val="Paragraph"/>
      </w:pPr>
      <w:r>
        <w:t xml:space="preserve">As stated in </w:t>
      </w:r>
      <w:hyperlink r:id="rId25" w:history="1">
        <w:r w:rsidR="00841686">
          <w:rPr>
            <w:rStyle w:val="Hyperlink"/>
            <w:i/>
            <w:iCs/>
          </w:rPr>
          <w:t>The f</w:t>
        </w:r>
        <w:r w:rsidRPr="00A06B12">
          <w:rPr>
            <w:rStyle w:val="Hyperlink"/>
            <w:i/>
            <w:iCs/>
          </w:rPr>
          <w:t>uture delivery of radio</w:t>
        </w:r>
      </w:hyperlink>
      <w:r w:rsidRPr="00A06B12">
        <w:t xml:space="preserve"> report</w:t>
      </w:r>
      <w:r>
        <w:t>, we will not be converting AM services in metropolitan markets as part of this program.</w:t>
      </w:r>
      <w:r>
        <w:rPr>
          <w:rStyle w:val="FootnoteReference"/>
        </w:rPr>
        <w:footnoteReference w:id="2"/>
      </w:r>
    </w:p>
    <w:p w14:paraId="5FC83E3E" w14:textId="672DB551" w:rsidR="00AD5825" w:rsidRDefault="00AD5825" w:rsidP="00AD5825">
      <w:pPr>
        <w:rPr>
          <w:rFonts w:cs="Arial"/>
        </w:rPr>
      </w:pPr>
      <w:r>
        <w:rPr>
          <w:rFonts w:cs="Arial"/>
        </w:rPr>
        <w:t>Requests for conversions of AM community broadcasting and national services will continue to be assessed on a case-by-case basis in accordance with</w:t>
      </w:r>
      <w:r w:rsidRPr="00096048">
        <w:t xml:space="preserve"> </w:t>
      </w:r>
      <w:hyperlink r:id="rId26" w:history="1">
        <w:r w:rsidRPr="00733632">
          <w:rPr>
            <w:rStyle w:val="Hyperlink"/>
            <w:i/>
            <w:iCs/>
          </w:rPr>
          <w:t>ACMA</w:t>
        </w:r>
        <w:r w:rsidR="00841686" w:rsidRPr="00733632">
          <w:rPr>
            <w:rStyle w:val="Hyperlink"/>
            <w:i/>
            <w:iCs/>
          </w:rPr>
          <w:t>’s</w:t>
        </w:r>
        <w:r w:rsidRPr="00733632">
          <w:rPr>
            <w:rStyle w:val="Hyperlink"/>
            <w:i/>
            <w:iCs/>
          </w:rPr>
          <w:t xml:space="preserve"> approach to broadcast planning and varying licence area plans</w:t>
        </w:r>
      </w:hyperlink>
      <w:r>
        <w:rPr>
          <w:rFonts w:cs="Arial"/>
        </w:rPr>
        <w:t>, as a different set of objectives is applicable.</w:t>
      </w:r>
    </w:p>
    <w:p w14:paraId="2008A7E4" w14:textId="77777777" w:rsidR="00AD5825" w:rsidRDefault="00AD5825" w:rsidP="00AD5825">
      <w:pPr>
        <w:pStyle w:val="Heading2"/>
      </w:pPr>
      <w:bookmarkStart w:id="5" w:name="_Toc113546288"/>
      <w:r>
        <w:t>Consultation on the planning principles</w:t>
      </w:r>
      <w:bookmarkEnd w:id="5"/>
    </w:p>
    <w:p w14:paraId="071DA7BB" w14:textId="77777777" w:rsidR="00AD5825" w:rsidRDefault="00AD5825" w:rsidP="00AD5825">
      <w:pPr>
        <w:rPr>
          <w:rFonts w:cs="Arial"/>
        </w:rPr>
      </w:pPr>
      <w:r>
        <w:rPr>
          <w:rFonts w:cs="Arial"/>
        </w:rPr>
        <w:t xml:space="preserve">In October 2021, we consulted about our proposed principles. We received 10 submissions. </w:t>
      </w:r>
    </w:p>
    <w:p w14:paraId="17B85281" w14:textId="0AED6C1A" w:rsidR="00AD5825" w:rsidRDefault="00AD5825" w:rsidP="00AD5825">
      <w:pPr>
        <w:rPr>
          <w:rFonts w:cs="Arial"/>
        </w:rPr>
      </w:pPr>
      <w:r>
        <w:rPr>
          <w:rFonts w:cs="Arial"/>
        </w:rPr>
        <w:t xml:space="preserve">Some submitters asked us to reconsider our current broadcast spectrum planning priorities </w:t>
      </w:r>
      <w:r w:rsidR="00841686">
        <w:rPr>
          <w:rFonts w:cs="Arial"/>
        </w:rPr>
        <w:t>(</w:t>
      </w:r>
      <w:r>
        <w:rPr>
          <w:rFonts w:cs="Arial"/>
        </w:rPr>
        <w:t>which are explained further in the next section</w:t>
      </w:r>
      <w:r w:rsidR="00841686">
        <w:rPr>
          <w:rFonts w:cs="Arial"/>
        </w:rPr>
        <w:t>)</w:t>
      </w:r>
      <w:r>
        <w:rPr>
          <w:rFonts w:cs="Arial"/>
        </w:rPr>
        <w:t xml:space="preserve"> or delay the conversion program.</w:t>
      </w:r>
    </w:p>
    <w:p w14:paraId="1541E0BA" w14:textId="77777777" w:rsidR="00AD5825" w:rsidRDefault="00AD5825" w:rsidP="00AD5825">
      <w:pPr>
        <w:rPr>
          <w:rFonts w:cs="Arial"/>
        </w:rPr>
      </w:pPr>
      <w:r>
        <w:rPr>
          <w:rFonts w:cs="Arial"/>
        </w:rPr>
        <w:t>In response to submissions, we considered whether there was merit in reviewing our current broadcast planning priorities at this time.</w:t>
      </w:r>
    </w:p>
    <w:p w14:paraId="1B570C73" w14:textId="0F5868E2" w:rsidR="00AD5825" w:rsidRDefault="00AD5825" w:rsidP="00AD5825">
      <w:pPr>
        <w:rPr>
          <w:rFonts w:cs="Arial"/>
          <w:szCs w:val="20"/>
        </w:rPr>
      </w:pPr>
      <w:r>
        <w:rPr>
          <w:rFonts w:cs="Arial"/>
        </w:rPr>
        <w:t xml:space="preserve">Our view is that we can best support industry </w:t>
      </w:r>
      <w:r w:rsidR="00A953AA">
        <w:rPr>
          <w:rFonts w:cs="Arial"/>
        </w:rPr>
        <w:t xml:space="preserve">and audiences </w:t>
      </w:r>
      <w:r>
        <w:rPr>
          <w:rFonts w:cs="Arial"/>
        </w:rPr>
        <w:t>at this time by pursuing our current broadcast planning priorities.</w:t>
      </w:r>
      <w:r w:rsidRPr="008F3D2D">
        <w:rPr>
          <w:rFonts w:cs="Arial"/>
        </w:rPr>
        <w:t xml:space="preserve"> </w:t>
      </w:r>
      <w:r>
        <w:rPr>
          <w:rFonts w:cs="Arial"/>
        </w:rPr>
        <w:t>Our current priorities support</w:t>
      </w:r>
      <w:r w:rsidR="00A953AA">
        <w:rPr>
          <w:rFonts w:cs="Arial"/>
        </w:rPr>
        <w:t xml:space="preserve"> </w:t>
      </w:r>
      <w:r>
        <w:rPr>
          <w:rFonts w:cs="Arial"/>
        </w:rPr>
        <w:t>AM</w:t>
      </w:r>
      <w:r w:rsidR="00841686">
        <w:rPr>
          <w:rFonts w:cs="Arial"/>
        </w:rPr>
        <w:t xml:space="preserve"> to </w:t>
      </w:r>
      <w:r>
        <w:rPr>
          <w:rFonts w:cs="Arial"/>
        </w:rPr>
        <w:t>FM conversions</w:t>
      </w:r>
      <w:r w:rsidR="00A953AA">
        <w:rPr>
          <w:rFonts w:cs="Arial"/>
        </w:rPr>
        <w:t xml:space="preserve">, </w:t>
      </w:r>
      <w:r>
        <w:rPr>
          <w:rFonts w:cs="Arial"/>
        </w:rPr>
        <w:t>improving coverage where spectrum is available</w:t>
      </w:r>
      <w:r w:rsidR="00AD381B">
        <w:rPr>
          <w:rFonts w:cs="Arial"/>
        </w:rPr>
        <w:t xml:space="preserve"> and</w:t>
      </w:r>
      <w:r>
        <w:rPr>
          <w:rFonts w:cs="Arial"/>
        </w:rPr>
        <w:t xml:space="preserve"> digital rollout –</w:t>
      </w:r>
      <w:r w:rsidR="00A953AA">
        <w:rPr>
          <w:rFonts w:cs="Arial"/>
        </w:rPr>
        <w:t xml:space="preserve"> </w:t>
      </w:r>
      <w:r>
        <w:rPr>
          <w:rFonts w:cs="Arial"/>
        </w:rPr>
        <w:t>both DAB+ rollout</w:t>
      </w:r>
      <w:r w:rsidR="00AD381B">
        <w:rPr>
          <w:rFonts w:cs="Arial"/>
        </w:rPr>
        <w:t>,</w:t>
      </w:r>
      <w:r>
        <w:rPr>
          <w:rFonts w:cs="Arial"/>
        </w:rPr>
        <w:t xml:space="preserve"> </w:t>
      </w:r>
      <w:r w:rsidRPr="008C5F0E">
        <w:rPr>
          <w:rFonts w:cs="Arial"/>
          <w:bCs/>
          <w:szCs w:val="20"/>
        </w:rPr>
        <w:t xml:space="preserve">further </w:t>
      </w:r>
      <w:r>
        <w:rPr>
          <w:rFonts w:cs="Arial"/>
          <w:bCs/>
          <w:szCs w:val="20"/>
        </w:rPr>
        <w:t>digital radio technology</w:t>
      </w:r>
      <w:r w:rsidRPr="008C5F0E">
        <w:rPr>
          <w:rFonts w:cs="Arial"/>
          <w:bCs/>
          <w:szCs w:val="20"/>
        </w:rPr>
        <w:t xml:space="preserve"> trials</w:t>
      </w:r>
      <w:r w:rsidR="00AD381B">
        <w:rPr>
          <w:rFonts w:cs="Arial"/>
          <w:bCs/>
          <w:szCs w:val="20"/>
        </w:rPr>
        <w:t>,</w:t>
      </w:r>
      <w:r w:rsidR="00A953AA">
        <w:rPr>
          <w:rFonts w:cs="Arial"/>
          <w:bCs/>
          <w:szCs w:val="20"/>
        </w:rPr>
        <w:t xml:space="preserve"> </w:t>
      </w:r>
      <w:r w:rsidRPr="008C5F0E">
        <w:rPr>
          <w:rFonts w:cs="Arial"/>
          <w:bCs/>
          <w:szCs w:val="20"/>
        </w:rPr>
        <w:t>and maintaining a ‘watching brief’ on DRM technology</w:t>
      </w:r>
      <w:r w:rsidR="00AD381B">
        <w:rPr>
          <w:rFonts w:cs="Arial"/>
          <w:bCs/>
          <w:szCs w:val="20"/>
        </w:rPr>
        <w:t>. T</w:t>
      </w:r>
      <w:r w:rsidR="00A953AA">
        <w:rPr>
          <w:rFonts w:cs="Arial"/>
          <w:bCs/>
          <w:szCs w:val="20"/>
        </w:rPr>
        <w:t>his includes</w:t>
      </w:r>
      <w:r w:rsidRPr="008C5F0E">
        <w:rPr>
          <w:rFonts w:cs="Arial"/>
          <w:bCs/>
          <w:szCs w:val="20"/>
        </w:rPr>
        <w:t xml:space="preserve"> the results of any trials and developments in the deployment of DRM abroad</w:t>
      </w:r>
      <w:r w:rsidRPr="008C5F0E">
        <w:rPr>
          <w:rFonts w:cs="Arial"/>
          <w:szCs w:val="20"/>
        </w:rPr>
        <w:t>.</w:t>
      </w:r>
    </w:p>
    <w:p w14:paraId="31B90272" w14:textId="7D807163" w:rsidR="009755E7" w:rsidRPr="009755E7" w:rsidRDefault="009755E7" w:rsidP="00C62592">
      <w:pPr>
        <w:pStyle w:val="Heading2"/>
      </w:pPr>
      <w:bookmarkStart w:id="6" w:name="_Toc113546289"/>
      <w:r w:rsidRPr="009755E7">
        <w:t>Our expectations for the expanded conversion program</w:t>
      </w:r>
      <w:bookmarkEnd w:id="6"/>
    </w:p>
    <w:p w14:paraId="03C72D21" w14:textId="77D6DB8A" w:rsidR="00C54C58" w:rsidRDefault="00C54C58" w:rsidP="00C54C58">
      <w:pPr>
        <w:pStyle w:val="Paragraph"/>
      </w:pPr>
      <w:r>
        <w:t xml:space="preserve">Given the benefit of conversions to industry and their listeners, we expect to receive </w:t>
      </w:r>
      <w:r w:rsidR="008855E6">
        <w:t xml:space="preserve">a large number of </w:t>
      </w:r>
      <w:r>
        <w:t xml:space="preserve">conversion requests from licensees in competitive markets once the program is expanded. </w:t>
      </w:r>
    </w:p>
    <w:p w14:paraId="72339C2A" w14:textId="4D0D5CB7" w:rsidR="009755E7" w:rsidRDefault="009755E7" w:rsidP="009755E7">
      <w:pPr>
        <w:pStyle w:val="Paragraph"/>
      </w:pPr>
      <w:bookmarkStart w:id="7" w:name="_Hlk112247885"/>
      <w:r>
        <w:t>Although we expect these planning principles to help guide and streamline the conversion process, we</w:t>
      </w:r>
      <w:r w:rsidR="009C5A39">
        <w:t xml:space="preserve"> </w:t>
      </w:r>
      <w:r w:rsidR="005157E0">
        <w:t xml:space="preserve">also </w:t>
      </w:r>
      <w:r>
        <w:t xml:space="preserve">expect to face many of the same challenges we </w:t>
      </w:r>
      <w:r>
        <w:lastRenderedPageBreak/>
        <w:t>encountered in the solus conversion program as we expand the program</w:t>
      </w:r>
      <w:r w:rsidR="00820D4F">
        <w:t xml:space="preserve">. </w:t>
      </w:r>
      <w:r w:rsidR="00AD381B">
        <w:t xml:space="preserve">One </w:t>
      </w:r>
      <w:r w:rsidR="00820D4F">
        <w:t>example is that</w:t>
      </w:r>
      <w:r>
        <w:t xml:space="preserve"> identifying and resolving </w:t>
      </w:r>
      <w:r w:rsidR="00B8013E">
        <w:t>frequency</w:t>
      </w:r>
      <w:r w:rsidR="00820D4F">
        <w:t xml:space="preserve"> planning</w:t>
      </w:r>
      <w:r>
        <w:t xml:space="preserve"> </w:t>
      </w:r>
      <w:r w:rsidR="00016103">
        <w:t xml:space="preserve">issues often relies on the completion of </w:t>
      </w:r>
      <w:r w:rsidR="00820D4F">
        <w:t xml:space="preserve">critical commercial </w:t>
      </w:r>
      <w:r w:rsidR="00016103">
        <w:t xml:space="preserve">negotiations and decisions </w:t>
      </w:r>
      <w:r w:rsidR="00820D4F" w:rsidRPr="00935854">
        <w:t xml:space="preserve">by the applicant </w:t>
      </w:r>
      <w:r w:rsidR="008D59BB" w:rsidRPr="00935854">
        <w:t xml:space="preserve">before the ACMA can proceed with making </w:t>
      </w:r>
      <w:r w:rsidR="00B8013E" w:rsidRPr="00935854">
        <w:t>broadcast</w:t>
      </w:r>
      <w:r w:rsidR="00015090" w:rsidRPr="00935854">
        <w:t xml:space="preserve"> </w:t>
      </w:r>
      <w:r w:rsidR="00016103" w:rsidRPr="00935854">
        <w:t xml:space="preserve">spectrum planning </w:t>
      </w:r>
      <w:r w:rsidR="00820D4F" w:rsidRPr="00935854">
        <w:t>decisions</w:t>
      </w:r>
      <w:r w:rsidR="00016103" w:rsidRPr="00935854">
        <w:t>.</w:t>
      </w:r>
      <w:r w:rsidR="00016103">
        <w:t xml:space="preserve"> </w:t>
      </w:r>
      <w:r w:rsidR="00820D4F">
        <w:t xml:space="preserve"> </w:t>
      </w:r>
    </w:p>
    <w:p w14:paraId="17A3A421" w14:textId="14AAAD14" w:rsidR="00016103" w:rsidRDefault="009C5A39" w:rsidP="009755E7">
      <w:pPr>
        <w:pStyle w:val="Paragraph"/>
      </w:pPr>
      <w:r>
        <w:t>Because of this, w</w:t>
      </w:r>
      <w:r w:rsidR="009755E7">
        <w:t xml:space="preserve">e expect the </w:t>
      </w:r>
      <w:r w:rsidR="00016103">
        <w:t xml:space="preserve">regional competitive market conversion program </w:t>
      </w:r>
      <w:r w:rsidR="005157E0">
        <w:t xml:space="preserve">as a whole </w:t>
      </w:r>
      <w:r w:rsidR="00016103">
        <w:t>will progress over a number of years</w:t>
      </w:r>
      <w:r w:rsidR="005157E0">
        <w:t xml:space="preserve"> and many individual conversion processes will themselves be complex and time</w:t>
      </w:r>
      <w:r w:rsidR="00AD381B">
        <w:t>-</w:t>
      </w:r>
      <w:r w:rsidR="005157E0">
        <w:t>consuming</w:t>
      </w:r>
      <w:r w:rsidR="00016103">
        <w:t>.</w:t>
      </w:r>
    </w:p>
    <w:p w14:paraId="683918B9" w14:textId="2A44DB4B" w:rsidR="00C62592" w:rsidRDefault="00C62592" w:rsidP="00C62592">
      <w:pPr>
        <w:pStyle w:val="Paragraph"/>
      </w:pPr>
      <w:r>
        <w:t xml:space="preserve">Licensees can </w:t>
      </w:r>
      <w:r w:rsidR="00D05F91">
        <w:t xml:space="preserve">greatly </w:t>
      </w:r>
      <w:r>
        <w:t xml:space="preserve">assist </w:t>
      </w:r>
      <w:r w:rsidR="009306ED">
        <w:t>the progress of the program</w:t>
      </w:r>
      <w:r>
        <w:t xml:space="preserve"> by aligning their conversion requests with these planning principles. </w:t>
      </w:r>
    </w:p>
    <w:p w14:paraId="52201973" w14:textId="46A83916" w:rsidR="00F3232B" w:rsidRDefault="00C62592" w:rsidP="00C62592">
      <w:pPr>
        <w:pStyle w:val="Paragraph"/>
      </w:pPr>
      <w:r w:rsidRPr="00C62592">
        <w:t xml:space="preserve">In order </w:t>
      </w:r>
      <w:r w:rsidR="009306ED">
        <w:t>to help</w:t>
      </w:r>
      <w:r w:rsidR="00D05F91">
        <w:t xml:space="preserve"> us</w:t>
      </w:r>
      <w:r w:rsidRPr="00C62592">
        <w:t xml:space="preserve"> </w:t>
      </w:r>
      <w:r w:rsidR="006E0391">
        <w:t xml:space="preserve">to </w:t>
      </w:r>
      <w:r w:rsidRPr="00C62592">
        <w:t>progress conversions in</w:t>
      </w:r>
      <w:r w:rsidR="009306ED">
        <w:t xml:space="preserve"> an efficient and</w:t>
      </w:r>
      <w:r w:rsidRPr="00C62592">
        <w:t xml:space="preserve"> timely manner, we will require </w:t>
      </w:r>
      <w:r>
        <w:t xml:space="preserve">licensees </w:t>
      </w:r>
      <w:r w:rsidRPr="00C62592">
        <w:t>to submit a</w:t>
      </w:r>
      <w:r w:rsidR="006A4125">
        <w:t>n</w:t>
      </w:r>
      <w:r w:rsidRPr="00C62592">
        <w:t xml:space="preserve"> </w:t>
      </w:r>
      <w:hyperlink r:id="rId27" w:history="1">
        <w:r w:rsidR="006E0391" w:rsidRPr="0040303E">
          <w:t>ACMA Form B92</w:t>
        </w:r>
      </w:hyperlink>
      <w:r w:rsidR="00D05F91">
        <w:t xml:space="preserve"> </w:t>
      </w:r>
      <w:r w:rsidRPr="00C62592">
        <w:t xml:space="preserve">– Request to vary a licence area plan – radio (with guidance notes) </w:t>
      </w:r>
      <w:r w:rsidR="00F82311">
        <w:t>–</w:t>
      </w:r>
      <w:r w:rsidRPr="00C62592">
        <w:t xml:space="preserve"> </w:t>
      </w:r>
      <w:r w:rsidR="00F82311">
        <w:t xml:space="preserve">for </w:t>
      </w:r>
      <w:r w:rsidRPr="00C62592">
        <w:t xml:space="preserve"> the </w:t>
      </w:r>
      <w:r>
        <w:t xml:space="preserve">relevant </w:t>
      </w:r>
      <w:r w:rsidRPr="00C62592">
        <w:t>LAP</w:t>
      </w:r>
      <w:r w:rsidR="00F82311">
        <w:t xml:space="preserve"> variation</w:t>
      </w:r>
      <w:r w:rsidRPr="00C62592">
        <w:t xml:space="preserve">. </w:t>
      </w:r>
      <w:r w:rsidR="005157E0">
        <w:t>W</w:t>
      </w:r>
      <w:r w:rsidR="00F3232B">
        <w:t xml:space="preserve">e will require </w:t>
      </w:r>
      <w:r w:rsidR="006A4125" w:rsidRPr="00935854">
        <w:t>applicants</w:t>
      </w:r>
      <w:r w:rsidR="00F3232B" w:rsidRPr="00935854">
        <w:t xml:space="preserve"> to provide sufficient detail of their proposal</w:t>
      </w:r>
      <w:r w:rsidR="00AD381B">
        <w:t>,</w:t>
      </w:r>
      <w:r w:rsidR="005157E0">
        <w:t xml:space="preserve"> along with evidence-based supporting information</w:t>
      </w:r>
      <w:r w:rsidR="00F3232B" w:rsidRPr="00935854">
        <w:t>, including detailed technical specifications</w:t>
      </w:r>
      <w:r w:rsidR="00B8013E" w:rsidRPr="00935854">
        <w:t xml:space="preserve"> of the</w:t>
      </w:r>
      <w:r w:rsidR="006A4125" w:rsidRPr="00935854">
        <w:t xml:space="preserve"> current AM transmission and propos</w:t>
      </w:r>
      <w:r w:rsidR="00B8013E" w:rsidRPr="00935854">
        <w:t>e</w:t>
      </w:r>
      <w:r w:rsidR="006A4125" w:rsidRPr="00935854">
        <w:t xml:space="preserve">d FM </w:t>
      </w:r>
      <w:r w:rsidR="00DC0E8D" w:rsidRPr="00935854">
        <w:t>transmission(s)</w:t>
      </w:r>
      <w:r w:rsidR="00513861">
        <w:t xml:space="preserve">. We will also need the cooperation of licensees in </w:t>
      </w:r>
      <w:r w:rsidR="00851D4E" w:rsidRPr="00935854">
        <w:t>respond</w:t>
      </w:r>
      <w:r w:rsidR="00F82311">
        <w:t>ing</w:t>
      </w:r>
      <w:r w:rsidR="00851D4E" w:rsidRPr="00935854">
        <w:t xml:space="preserve"> </w:t>
      </w:r>
      <w:r w:rsidR="00C43C12" w:rsidRPr="00935854">
        <w:t>promptly throughout the planning process</w:t>
      </w:r>
      <w:r w:rsidR="00450FBD">
        <w:t xml:space="preserve"> to</w:t>
      </w:r>
      <w:r w:rsidR="005157E0">
        <w:t xml:space="preserve"> any necessary</w:t>
      </w:r>
      <w:r w:rsidR="00450FBD">
        <w:t xml:space="preserve"> </w:t>
      </w:r>
      <w:r w:rsidR="00851D4E" w:rsidRPr="00935854">
        <w:t>requests from the ACMA for further information</w:t>
      </w:r>
      <w:r w:rsidR="00F3232B" w:rsidRPr="00935854">
        <w:t>. Without such details, we will be unable to assess proposals, and may need to reject particular requests.</w:t>
      </w:r>
    </w:p>
    <w:p w14:paraId="4DD3533D" w14:textId="77777777" w:rsidR="00D66B19" w:rsidRDefault="00D66B19" w:rsidP="00D66B19">
      <w:pPr>
        <w:pStyle w:val="Paragraph"/>
      </w:pPr>
      <w:r>
        <w:t>Because there are other planning activities that can promote the objects of the BSA – such as improving coverage of existing services and facilitating trials of new technologies – we expect to continue to</w:t>
      </w:r>
      <w:r w:rsidRPr="004076E8">
        <w:t xml:space="preserve"> progress other </w:t>
      </w:r>
      <w:r>
        <w:t>broadcast planning activities in tandem with our conversion work.</w:t>
      </w:r>
    </w:p>
    <w:p w14:paraId="00F19A74" w14:textId="0AB18B5F" w:rsidR="006E0391" w:rsidRDefault="00C54C58" w:rsidP="002336B8">
      <w:pPr>
        <w:pStyle w:val="Paragraph"/>
      </w:pPr>
      <w:r>
        <w:t>We will assess r</w:t>
      </w:r>
      <w:r w:rsidR="008D6582">
        <w:t xml:space="preserve">equests for conversions along with other priority and non-priority LAP variation requests. </w:t>
      </w:r>
      <w:r w:rsidR="006E0391">
        <w:t xml:space="preserve">We will prioritise, assess and respond to all LAP variation requests in line with the process set out in Part 3 of </w:t>
      </w:r>
      <w:hyperlink r:id="rId28" w:history="1">
        <w:r w:rsidR="006E0391" w:rsidRPr="002F4D6E">
          <w:rPr>
            <w:rStyle w:val="Hyperlink"/>
            <w:i/>
            <w:iCs/>
          </w:rPr>
          <w:t>ACMA</w:t>
        </w:r>
        <w:r w:rsidR="00AD381B" w:rsidRPr="002F4D6E">
          <w:rPr>
            <w:rStyle w:val="Hyperlink"/>
            <w:i/>
            <w:iCs/>
          </w:rPr>
          <w:t>’s</w:t>
        </w:r>
        <w:r w:rsidR="006E0391" w:rsidRPr="002F4D6E">
          <w:rPr>
            <w:rStyle w:val="Hyperlink"/>
            <w:i/>
            <w:iCs/>
          </w:rPr>
          <w:t xml:space="preserve"> approach to broadcast planning and varying licence area plans</w:t>
        </w:r>
      </w:hyperlink>
      <w:r w:rsidR="006E0391">
        <w:t>.</w:t>
      </w:r>
    </w:p>
    <w:p w14:paraId="67A03C6A" w14:textId="1A528C34" w:rsidR="009C5A39" w:rsidRDefault="009C5A39" w:rsidP="002336B8">
      <w:pPr>
        <w:pStyle w:val="Paragraph"/>
      </w:pPr>
      <w:r>
        <w:t xml:space="preserve">Our decision about which request to </w:t>
      </w:r>
      <w:r w:rsidR="008855E6">
        <w:t xml:space="preserve">progress and in what order </w:t>
      </w:r>
      <w:r>
        <w:t xml:space="preserve">will be guided by what would best promote the objects of the BSA. </w:t>
      </w:r>
    </w:p>
    <w:p w14:paraId="3AE9CBA5" w14:textId="2FFB02F9" w:rsidR="005338DA" w:rsidRDefault="005338DA" w:rsidP="002336B8">
      <w:pPr>
        <w:pStyle w:val="Paragraph"/>
      </w:pPr>
      <w:r>
        <w:t>We expect industry</w:t>
      </w:r>
      <w:r w:rsidR="00B8013E">
        <w:t xml:space="preserve"> engagement</w:t>
      </w:r>
      <w:r>
        <w:t xml:space="preserve"> </w:t>
      </w:r>
      <w:r w:rsidR="006A4125">
        <w:t xml:space="preserve">to </w:t>
      </w:r>
      <w:r w:rsidR="00B8013E">
        <w:t xml:space="preserve">inform our decision-making process </w:t>
      </w:r>
      <w:r>
        <w:t xml:space="preserve">by providing </w:t>
      </w:r>
      <w:r w:rsidRPr="00C54C58">
        <w:t xml:space="preserve">feedback on the draft of the detailed work plan we will follow for the next 12 months when we consult on the draft </w:t>
      </w:r>
      <w:r w:rsidR="00AD381B">
        <w:t>five-year spectrum outlook (</w:t>
      </w:r>
      <w:r>
        <w:t>FYSO</w:t>
      </w:r>
      <w:r w:rsidR="00AD381B">
        <w:t>)</w:t>
      </w:r>
      <w:r>
        <w:t xml:space="preserve"> in April to June </w:t>
      </w:r>
      <w:r w:rsidR="00113899">
        <w:br/>
      </w:r>
      <w:r>
        <w:t>each year.</w:t>
      </w:r>
    </w:p>
    <w:p w14:paraId="7AA83A82" w14:textId="093AA2CD" w:rsidR="00541958" w:rsidRPr="00C62592" w:rsidRDefault="00541958" w:rsidP="00C62592">
      <w:pPr>
        <w:pStyle w:val="Paragraph"/>
      </w:pPr>
    </w:p>
    <w:bookmarkEnd w:id="7"/>
    <w:p w14:paraId="6B56F60F" w14:textId="77777777" w:rsidR="009755E7" w:rsidRDefault="009755E7" w:rsidP="00AD5825">
      <w:pPr>
        <w:rPr>
          <w:rFonts w:cs="Arial"/>
        </w:rPr>
      </w:pPr>
    </w:p>
    <w:p w14:paraId="75855930" w14:textId="77777777" w:rsidR="00AD5825" w:rsidRDefault="00AD5825" w:rsidP="00AD5825">
      <w:pPr>
        <w:spacing w:after="0" w:line="240" w:lineRule="auto"/>
        <w:rPr>
          <w:rFonts w:cs="Arial"/>
          <w:b/>
          <w:bCs/>
          <w:iCs/>
          <w:sz w:val="28"/>
          <w:szCs w:val="28"/>
        </w:rPr>
      </w:pPr>
      <w:bookmarkStart w:id="8" w:name="_Toc90897000"/>
      <w:bookmarkEnd w:id="2"/>
      <w:r>
        <w:br w:type="page"/>
      </w:r>
    </w:p>
    <w:p w14:paraId="17BB763C" w14:textId="77777777" w:rsidR="00AD5825" w:rsidRDefault="00AD5825" w:rsidP="00AD5825">
      <w:pPr>
        <w:pStyle w:val="Heading1"/>
      </w:pPr>
      <w:bookmarkStart w:id="9" w:name="_Toc113546290"/>
      <w:r>
        <w:lastRenderedPageBreak/>
        <w:t>Background</w:t>
      </w:r>
      <w:bookmarkEnd w:id="9"/>
    </w:p>
    <w:p w14:paraId="0DB38F93" w14:textId="77777777" w:rsidR="00AD5825" w:rsidRPr="00C35CCE" w:rsidRDefault="00AD5825" w:rsidP="00AD5825">
      <w:pPr>
        <w:pStyle w:val="Heading2"/>
      </w:pPr>
      <w:bookmarkStart w:id="10" w:name="_Toc113546291"/>
      <w:r>
        <w:t>How we plan broadcast spectrum</w:t>
      </w:r>
      <w:bookmarkEnd w:id="10"/>
      <w:r>
        <w:t xml:space="preserve"> </w:t>
      </w:r>
      <w:bookmarkEnd w:id="8"/>
    </w:p>
    <w:p w14:paraId="3C97C196" w14:textId="77777777" w:rsidR="00AD5825" w:rsidRDefault="00AD5825" w:rsidP="00AD5825">
      <w:r>
        <w:t xml:space="preserve">We plan broadcasting services in accordance with the specific broadcast spectrum planning provisions in Part 3 of the </w:t>
      </w:r>
      <w:r w:rsidRPr="00814C61">
        <w:rPr>
          <w:i/>
          <w:iCs/>
        </w:rPr>
        <w:t>Broadcasting Services Act 1992</w:t>
      </w:r>
      <w:r>
        <w:t xml:space="preserve"> (the BSA).</w:t>
      </w:r>
      <w:r w:rsidRPr="00E503FB">
        <w:t xml:space="preserve"> </w:t>
      </w:r>
    </w:p>
    <w:p w14:paraId="24EA6066" w14:textId="77777777" w:rsidR="00AD5825" w:rsidRDefault="00AD5825" w:rsidP="00AD5825">
      <w:pPr>
        <w:pStyle w:val="Paragraph"/>
      </w:pPr>
      <w:r>
        <w:t xml:space="preserve">The number and type of different broadcasting services in a licence area are set out in a </w:t>
      </w:r>
      <w:r w:rsidRPr="008A423D">
        <w:t xml:space="preserve">licence area </w:t>
      </w:r>
      <w:r>
        <w:t xml:space="preserve">plan (LAP) made under subsection 26(1) of the </w:t>
      </w:r>
      <w:r w:rsidRPr="008A423D">
        <w:t>BSA</w:t>
      </w:r>
      <w:r>
        <w:t xml:space="preserve">. </w:t>
      </w:r>
    </w:p>
    <w:p w14:paraId="4E80F8C7" w14:textId="489F78B9" w:rsidR="00AD5825" w:rsidRDefault="00AD5825" w:rsidP="00AD5825">
      <w:pPr>
        <w:pStyle w:val="Paragraph"/>
      </w:pPr>
      <w:r>
        <w:t>Whenever we plan a new radio service in a licence area</w:t>
      </w:r>
      <w:r w:rsidR="005D4882">
        <w:t>,</w:t>
      </w:r>
      <w:r>
        <w:t xml:space="preserve"> or change the technical specifications of an already planned radio service – such as replanning radio services from AM to FM spectrum – we need to vary the relevant radio LAP. </w:t>
      </w:r>
      <w:r w:rsidRPr="00D56A0C">
        <w:t>Subsection 26(2) of the</w:t>
      </w:r>
      <w:r w:rsidRPr="00D56A0C">
        <w:rPr>
          <w:rFonts w:eastAsia="Calibri"/>
          <w:color w:val="000000"/>
        </w:rPr>
        <w:t xml:space="preserve"> BSA</w:t>
      </w:r>
      <w:r w:rsidRPr="00D56A0C">
        <w:t xml:space="preserve"> gives </w:t>
      </w:r>
      <w:r w:rsidR="005D4882">
        <w:t>us</w:t>
      </w:r>
      <w:r w:rsidRPr="00D56A0C">
        <w:t xml:space="preserve"> discretionary power to </w:t>
      </w:r>
      <w:r>
        <w:t>do this</w:t>
      </w:r>
      <w:r w:rsidRPr="00D56A0C">
        <w:t>.</w:t>
      </w:r>
    </w:p>
    <w:p w14:paraId="44D4CE53" w14:textId="77777777" w:rsidR="00AD5825" w:rsidRDefault="00AD5825" w:rsidP="00AD5825">
      <w:r w:rsidRPr="00506BA2">
        <w:t>The process of AM</w:t>
      </w:r>
      <w:r>
        <w:t xml:space="preserve"> to </w:t>
      </w:r>
      <w:r w:rsidRPr="00506BA2">
        <w:t>FM conversion is carried out as a request to vary a LAP’s technical specifications</w:t>
      </w:r>
      <w:r>
        <w:t xml:space="preserve"> – including </w:t>
      </w:r>
      <w:r w:rsidRPr="00506BA2">
        <w:t>the authorised operating mode and frequency of a commercial radio broadcasting transmitter</w:t>
      </w:r>
      <w:r>
        <w:t>. The</w:t>
      </w:r>
      <w:r w:rsidRPr="00506BA2">
        <w:t xml:space="preserve"> FM frequency is</w:t>
      </w:r>
      <w:r>
        <w:t xml:space="preserve"> then</w:t>
      </w:r>
      <w:r w:rsidRPr="00506BA2">
        <w:t xml:space="preserve"> </w:t>
      </w:r>
      <w:r>
        <w:t>included in a transmitter licence held by the licensee</w:t>
      </w:r>
      <w:r w:rsidRPr="00506BA2">
        <w:t>. </w:t>
      </w:r>
    </w:p>
    <w:p w14:paraId="32FC0C70" w14:textId="77777777" w:rsidR="00AD5825" w:rsidRDefault="00AD5825" w:rsidP="00AD5825">
      <w:r w:rsidRPr="00506BA2">
        <w:t>In considering the exercise of powers to vary a LAP</w:t>
      </w:r>
      <w:r>
        <w:t xml:space="preserve"> to allow for conversion, or for any other reason,</w:t>
      </w:r>
      <w:r w:rsidRPr="00506BA2">
        <w:t xml:space="preserve"> </w:t>
      </w:r>
      <w:r>
        <w:t>we are required to</w:t>
      </w:r>
      <w:r w:rsidRPr="00506BA2">
        <w:t xml:space="preserve"> have regard</w:t>
      </w:r>
      <w:r>
        <w:t xml:space="preserve"> </w:t>
      </w:r>
      <w:r w:rsidRPr="00506BA2">
        <w:t xml:space="preserve">to the criteria set out in section 23 of the </w:t>
      </w:r>
      <w:r>
        <w:t>BSA</w:t>
      </w:r>
      <w:r w:rsidRPr="00506BA2">
        <w:t xml:space="preserve">. </w:t>
      </w:r>
      <w:r>
        <w:t>Section 23 states we must perform our</w:t>
      </w:r>
      <w:r w:rsidRPr="00506BA2">
        <w:t xml:space="preserve"> </w:t>
      </w:r>
      <w:r>
        <w:t xml:space="preserve">planning </w:t>
      </w:r>
      <w:r w:rsidRPr="00506BA2">
        <w:t xml:space="preserve">functions in a way that promotes the objects of the </w:t>
      </w:r>
      <w:r>
        <w:t>BSA</w:t>
      </w:r>
      <w:r w:rsidRPr="00506BA2">
        <w:t>, including the economic and efficient use of the radiofrequency spectrum.</w:t>
      </w:r>
    </w:p>
    <w:p w14:paraId="0A75E6B4" w14:textId="04AB2F23" w:rsidR="00AD5825" w:rsidRDefault="00AD5825" w:rsidP="00AD5825">
      <w:pPr>
        <w:pStyle w:val="Paragraph"/>
      </w:pPr>
      <w:r>
        <w:t>Our general approach to planning for broadcasting services in the broadcasting services bands (BSBs)</w:t>
      </w:r>
      <w:r w:rsidR="0041282E">
        <w:t>,</w:t>
      </w:r>
      <w:r>
        <w:t xml:space="preserve"> and how we make broadcast planning decisions for both television and radio</w:t>
      </w:r>
      <w:r w:rsidR="0041282E">
        <w:t>,</w:t>
      </w:r>
      <w:r>
        <w:t xml:space="preserve"> is set out in </w:t>
      </w:r>
      <w:hyperlink r:id="rId29" w:history="1">
        <w:r w:rsidRPr="004C0F54">
          <w:rPr>
            <w:rStyle w:val="Hyperlink"/>
            <w:i/>
            <w:iCs/>
          </w:rPr>
          <w:t>ACMA</w:t>
        </w:r>
        <w:r w:rsidR="002F4D6E">
          <w:rPr>
            <w:rStyle w:val="Hyperlink"/>
            <w:i/>
            <w:iCs/>
          </w:rPr>
          <w:t>’s</w:t>
        </w:r>
        <w:r w:rsidRPr="004C0F54">
          <w:rPr>
            <w:rStyle w:val="Hyperlink"/>
            <w:i/>
            <w:iCs/>
          </w:rPr>
          <w:t xml:space="preserve"> approach to broadcast spectrum planning and varying licence area plans</w:t>
        </w:r>
      </w:hyperlink>
      <w:r w:rsidR="0041282E">
        <w:t xml:space="preserve"> document.</w:t>
      </w:r>
    </w:p>
    <w:p w14:paraId="68203BD7" w14:textId="77777777" w:rsidR="00AD5825" w:rsidRPr="00C35CCE" w:rsidRDefault="00AD5825" w:rsidP="00AD5825">
      <w:pPr>
        <w:pStyle w:val="Heading2"/>
      </w:pPr>
      <w:bookmarkStart w:id="11" w:name="_Toc90897003"/>
      <w:bookmarkStart w:id="12" w:name="_Toc113546292"/>
      <w:r>
        <w:t>Future delivery of radio report</w:t>
      </w:r>
      <w:bookmarkEnd w:id="11"/>
      <w:bookmarkEnd w:id="12"/>
    </w:p>
    <w:p w14:paraId="37A486A4" w14:textId="077A6366" w:rsidR="00AD5825" w:rsidRDefault="00AD5825" w:rsidP="00AD5825">
      <w:pPr>
        <w:pStyle w:val="Paragraph"/>
      </w:pPr>
      <w:r>
        <w:t>In 2019, we established t</w:t>
      </w:r>
      <w:r w:rsidRPr="00BA45CE">
        <w:t xml:space="preserve">he </w:t>
      </w:r>
      <w:r w:rsidR="0041282E">
        <w:t>f</w:t>
      </w:r>
      <w:r w:rsidRPr="00BA45CE">
        <w:t xml:space="preserve">uture </w:t>
      </w:r>
      <w:r w:rsidR="0041282E">
        <w:t>d</w:t>
      </w:r>
      <w:r w:rsidRPr="00BA45CE">
        <w:t xml:space="preserve">elivery of </w:t>
      </w:r>
      <w:r w:rsidR="0041282E">
        <w:t>r</w:t>
      </w:r>
      <w:r w:rsidRPr="00BA45CE">
        <w:t xml:space="preserve">adio </w:t>
      </w:r>
      <w:r w:rsidR="0041282E">
        <w:t>p</w:t>
      </w:r>
      <w:r w:rsidRPr="00BA45CE">
        <w:t>roject to ask Australian broadcasters and audio content providers about emerging technologies, the impact on their businesses and the choices these create for the radio industry</w:t>
      </w:r>
      <w:r w:rsidR="0041282E">
        <w:t xml:space="preserve">. This </w:t>
      </w:r>
      <w:r w:rsidRPr="00BA45CE">
        <w:t>includ</w:t>
      </w:r>
      <w:r w:rsidR="0041282E">
        <w:t>es</w:t>
      </w:r>
      <w:r w:rsidRPr="00BA45CE">
        <w:t xml:space="preserve"> how radio will be delivered to audiences in the future.</w:t>
      </w:r>
    </w:p>
    <w:p w14:paraId="3DCE0BC2" w14:textId="4E34FD82" w:rsidR="00AD5825" w:rsidRDefault="00AD5825" w:rsidP="00AD5825">
      <w:pPr>
        <w:pStyle w:val="Paragraph"/>
      </w:pPr>
      <w:r>
        <w:t>Our consultations confirmed that AM audiences are continuing to decline due to changes in audience preferences and the limitations in AM’s audio fidelity and interference susceptibility. Increasing levels of interference from noise sources due to urban growth, such as electrical machinery, electronic equipment, power lines and electric vehicles, are exacerbating the issue.</w:t>
      </w:r>
    </w:p>
    <w:p w14:paraId="24A5E493" w14:textId="61EE50DF" w:rsidR="00AD5825" w:rsidRDefault="00AD5825" w:rsidP="00AD5825">
      <w:pPr>
        <w:pStyle w:val="Paragraph"/>
      </w:pPr>
      <w:r>
        <w:t>The audience drift in the current economic climate is resulting in weaker advertising revenue. Because of this, industry</w:t>
      </w:r>
      <w:r w:rsidR="00A953AA">
        <w:t xml:space="preserve"> participants</w:t>
      </w:r>
      <w:r>
        <w:t xml:space="preserve"> advised us </w:t>
      </w:r>
      <w:r w:rsidR="00A953AA">
        <w:t>that they</w:t>
      </w:r>
      <w:r>
        <w:t xml:space="preserve"> see AM to FM conversions (or simulcasts where the AM coverage cannot be closely matched) where frequency availability permits, as their preferred solution in the short to medium-term </w:t>
      </w:r>
      <w:r w:rsidR="00A953AA">
        <w:t>to</w:t>
      </w:r>
      <w:r>
        <w:t xml:space="preserve"> address the decline in AM audiences. </w:t>
      </w:r>
    </w:p>
    <w:p w14:paraId="7C82E24F" w14:textId="10275CD4" w:rsidR="00AD5825" w:rsidRPr="00311B0F" w:rsidRDefault="00AD5825" w:rsidP="00C05979">
      <w:pPr>
        <w:pStyle w:val="Paragraphbeforelist"/>
        <w:keepNext/>
        <w:keepLines/>
      </w:pPr>
      <w:r>
        <w:lastRenderedPageBreak/>
        <w:t xml:space="preserve">In response to the findings of our </w:t>
      </w:r>
      <w:hyperlink r:id="rId30" w:history="1">
        <w:r>
          <w:rPr>
            <w:rStyle w:val="Hyperlink"/>
          </w:rPr>
          <w:t>repor</w:t>
        </w:r>
        <w:r w:rsidR="003B3F6E">
          <w:rPr>
            <w:rStyle w:val="Hyperlink"/>
          </w:rPr>
          <w:t>t on the future delivery of radio</w:t>
        </w:r>
      </w:hyperlink>
      <w:r>
        <w:t xml:space="preserve">, we identified </w:t>
      </w:r>
      <w:r w:rsidR="003B3F6E">
        <w:br/>
      </w:r>
      <w:r>
        <w:t xml:space="preserve">4 broadcast planning </w:t>
      </w:r>
      <w:r w:rsidRPr="00311B0F">
        <w:t>priority activities to help support radio:</w:t>
      </w:r>
    </w:p>
    <w:p w14:paraId="4430E9EF" w14:textId="77777777" w:rsidR="00AD5825" w:rsidRPr="00311B0F" w:rsidRDefault="00AD5825" w:rsidP="00C05979">
      <w:pPr>
        <w:pStyle w:val="Bulletlevel1"/>
        <w:keepNext/>
        <w:keepLines/>
      </w:pPr>
      <w:r w:rsidRPr="00311B0F">
        <w:t>converting commercial, community and national radio broadcasting services from AM to FM where available</w:t>
      </w:r>
    </w:p>
    <w:p w14:paraId="238B4BC5" w14:textId="77777777" w:rsidR="00AD5825" w:rsidRPr="00311B0F" w:rsidRDefault="00AD5825" w:rsidP="00C05979">
      <w:pPr>
        <w:pStyle w:val="Bulletlevel1"/>
        <w:keepNext/>
        <w:keepLines/>
      </w:pPr>
      <w:r w:rsidRPr="00311B0F">
        <w:t>improving the coverage of radio broadcasting services where spectrum is readily available</w:t>
      </w:r>
    </w:p>
    <w:p w14:paraId="31E68528" w14:textId="77777777" w:rsidR="00AD5825" w:rsidRPr="00311B0F" w:rsidRDefault="00AD5825" w:rsidP="00C05979">
      <w:pPr>
        <w:pStyle w:val="Bulletlevel1"/>
        <w:keepNext/>
        <w:keepLines/>
      </w:pPr>
      <w:r w:rsidRPr="00311B0F">
        <w:t>making digital radio channel plans for regional DAB+ where there is a planned rollout</w:t>
      </w:r>
    </w:p>
    <w:p w14:paraId="738F1908" w14:textId="77777777" w:rsidR="00AD5825" w:rsidRPr="00311B0F" w:rsidRDefault="00AD5825" w:rsidP="00C05979">
      <w:pPr>
        <w:pStyle w:val="Bulletlevel1last"/>
      </w:pPr>
      <w:r w:rsidRPr="00311B0F">
        <w:t>supporting trials of new broadcasting technology.</w:t>
      </w:r>
    </w:p>
    <w:p w14:paraId="53C04F60" w14:textId="77777777" w:rsidR="00AD5825" w:rsidRPr="00AD07FE" w:rsidRDefault="00AD5825" w:rsidP="00AD5825">
      <w:pPr>
        <w:pStyle w:val="Heading2"/>
      </w:pPr>
      <w:bookmarkStart w:id="13" w:name="_Toc90897004"/>
      <w:bookmarkStart w:id="14" w:name="_Toc113546293"/>
      <w:r>
        <w:t>Expanding conversion program to non-solus regional licence areas</w:t>
      </w:r>
      <w:bookmarkEnd w:id="13"/>
      <w:bookmarkEnd w:id="14"/>
    </w:p>
    <w:p w14:paraId="556FF8B3" w14:textId="43A4DBA5" w:rsidR="003B3F6E" w:rsidRDefault="00AD5825" w:rsidP="00AD5825">
      <w:pPr>
        <w:pStyle w:val="Paragraphbeforelist"/>
      </w:pPr>
      <w:r>
        <w:t>We consider opening the conversion program to solus markets with over 30% population overlap, and to non-solus licence areas (that is, competitive areas) in regional areas, promotes</w:t>
      </w:r>
      <w:r w:rsidRPr="00A40E6C">
        <w:t xml:space="preserve"> </w:t>
      </w:r>
      <w:r>
        <w:t>the objects of the BSA and the economic and efficient use of spectrum for the following reasons:</w:t>
      </w:r>
    </w:p>
    <w:p w14:paraId="3E7D41FA" w14:textId="77777777" w:rsidR="003B3F6E" w:rsidRPr="003B3F6E" w:rsidRDefault="003B3F6E" w:rsidP="003B3F6E">
      <w:pPr>
        <w:pStyle w:val="Paragraphbeforelist"/>
        <w:rPr>
          <w:b/>
          <w:bCs/>
        </w:rPr>
      </w:pPr>
      <w:r w:rsidRPr="003B3F6E">
        <w:rPr>
          <w:b/>
          <w:bCs/>
        </w:rPr>
        <w:t>Promotes diverse range of services</w:t>
      </w:r>
    </w:p>
    <w:p w14:paraId="6658D994" w14:textId="42CAC3F1" w:rsidR="003B3F6E" w:rsidRDefault="003B3F6E" w:rsidP="003B3F6E">
      <w:pPr>
        <w:pStyle w:val="Bulletlevel1"/>
      </w:pPr>
      <w:r>
        <w:t>The greater fidelity of FM allows a wider range of potential formats than AM.</w:t>
      </w:r>
    </w:p>
    <w:p w14:paraId="799FE0B9" w14:textId="5120FB32" w:rsidR="003B3F6E" w:rsidRDefault="003B3F6E" w:rsidP="003B3F6E">
      <w:pPr>
        <w:pStyle w:val="Bulletlevel1last"/>
      </w:pPr>
      <w:r>
        <w:t xml:space="preserve">We will continue to ensure that the existing reach of AM services is closely </w:t>
      </w:r>
      <w:r w:rsidR="00FA7C56">
        <w:t>matched or</w:t>
      </w:r>
      <w:r>
        <w:t xml:space="preserve"> that AM is available in simulcast.</w:t>
      </w:r>
    </w:p>
    <w:p w14:paraId="057D10DF" w14:textId="77777777" w:rsidR="003B3F6E" w:rsidRPr="003B3F6E" w:rsidRDefault="003B3F6E" w:rsidP="003B3F6E">
      <w:pPr>
        <w:pStyle w:val="Paragraphbeforelist"/>
        <w:rPr>
          <w:b/>
          <w:bCs/>
        </w:rPr>
      </w:pPr>
      <w:r w:rsidRPr="003B3F6E">
        <w:rPr>
          <w:b/>
          <w:bCs/>
        </w:rPr>
        <w:t>Facilitates development of an industry that is efficient, competitive and responsive to audience needs</w:t>
      </w:r>
    </w:p>
    <w:p w14:paraId="29FCF1A3" w14:textId="22CA35C0" w:rsidR="003B3F6E" w:rsidRDefault="003B3F6E" w:rsidP="003B3F6E">
      <w:pPr>
        <w:pStyle w:val="Bulletlevel1"/>
      </w:pPr>
      <w:r>
        <w:t>Will assist the industry to manage the slow decline in AM audiences and allow broadcasters to provide formats that listeners seek.</w:t>
      </w:r>
    </w:p>
    <w:p w14:paraId="67CEBDA6" w14:textId="475A0539" w:rsidR="003B3F6E" w:rsidRDefault="003B3F6E" w:rsidP="003B3F6E">
      <w:pPr>
        <w:pStyle w:val="Bulletlevel1"/>
      </w:pPr>
      <w:r>
        <w:t>Compared to AM, FM provides improved outcomes for listeners in terms of better fidelity and better interference immunity.</w:t>
      </w:r>
    </w:p>
    <w:p w14:paraId="014E756E" w14:textId="55ADC710" w:rsidR="003B3F6E" w:rsidRDefault="003B3F6E" w:rsidP="003B3F6E">
      <w:pPr>
        <w:pStyle w:val="Bulletlevel1last"/>
      </w:pPr>
      <w:r>
        <w:t>Switching AM off provides savings for broadcasters, for example, in energy costs, site rentals, opportunity cost of land, and tower maintenance.</w:t>
      </w:r>
    </w:p>
    <w:p w14:paraId="39FBB48F" w14:textId="77777777" w:rsidR="003B3F6E" w:rsidRPr="003B3F6E" w:rsidRDefault="003B3F6E" w:rsidP="003B3F6E">
      <w:pPr>
        <w:pStyle w:val="Paragraphbeforelist"/>
        <w:rPr>
          <w:b/>
          <w:bCs/>
        </w:rPr>
      </w:pPr>
      <w:r w:rsidRPr="003B3F6E">
        <w:rPr>
          <w:b/>
          <w:bCs/>
        </w:rPr>
        <w:t>Promotes economic and efficient use of spectrum</w:t>
      </w:r>
    </w:p>
    <w:p w14:paraId="084AA340" w14:textId="40F25179" w:rsidR="003B3F6E" w:rsidRDefault="003B3F6E" w:rsidP="003B3F6E">
      <w:pPr>
        <w:pStyle w:val="Bulletlevel1"/>
      </w:pPr>
      <w:r>
        <w:t>We consider providing FM frequencies to closely match AM coverage (within a licence area for licensed broadcasters) is generally an economic and efficient use of spectrum. Whether a specific proposed LAP variation would result in an economic and efficient use of spectrum needs to be determined at the individual service-planning stage.</w:t>
      </w:r>
    </w:p>
    <w:p w14:paraId="16A21AA7" w14:textId="189D8C0C" w:rsidR="003B3F6E" w:rsidRDefault="003B3F6E" w:rsidP="003B3F6E">
      <w:pPr>
        <w:pStyle w:val="Bulletlevel1last"/>
      </w:pPr>
      <w:r>
        <w:t>Where an FM conversion and any associated FM infill repeaters are not able to closely match AM coverage, we will generally expect the service to be simulcast in both AM and FM for a period of years. We do not consider this coverage duplication to be wasteful of spectrum, noting that the AM band currently has little alternative value, and the communicated desire of the industry to move to alternative delivery platforms.</w:t>
      </w:r>
    </w:p>
    <w:p w14:paraId="54281C39" w14:textId="77777777" w:rsidR="00AD5825" w:rsidRDefault="00AD5825" w:rsidP="00AD5825">
      <w:pPr>
        <w:pStyle w:val="Paragraph"/>
        <w:keepNext/>
        <w:keepLines/>
      </w:pPr>
      <w:r>
        <w:t>Given the complexities and time required to complete the remaining regional solus market conversions, we are opening the conversion program to regional competitive markets while we continue to work on engineering solutions for the remaining solus markets.</w:t>
      </w:r>
    </w:p>
    <w:p w14:paraId="21CF86E2" w14:textId="4AC231A0" w:rsidR="00AD5825" w:rsidRDefault="00AD5825" w:rsidP="00AD5825">
      <w:pPr>
        <w:pStyle w:val="DotPoints"/>
        <w:numPr>
          <w:ilvl w:val="0"/>
          <w:numId w:val="0"/>
        </w:numPr>
        <w:rPr>
          <w:rFonts w:ascii="Arial" w:eastAsia="Times New Roman" w:hAnsi="Arial" w:cs="Times New Roman"/>
          <w:sz w:val="20"/>
          <w:szCs w:val="24"/>
          <w:lang w:eastAsia="en-AU"/>
        </w:rPr>
      </w:pPr>
      <w:r>
        <w:rPr>
          <w:rFonts w:ascii="Arial" w:eastAsia="Times New Roman" w:hAnsi="Arial" w:cs="Times New Roman"/>
          <w:sz w:val="20"/>
          <w:szCs w:val="24"/>
          <w:lang w:eastAsia="en-AU"/>
        </w:rPr>
        <w:t xml:space="preserve">This will allow the benefits of FM to be made available to listeners in more areas, </w:t>
      </w:r>
      <w:r w:rsidR="000726B9">
        <w:rPr>
          <w:rFonts w:ascii="Arial" w:eastAsia="Times New Roman" w:hAnsi="Arial" w:cs="Times New Roman"/>
          <w:sz w:val="20"/>
          <w:szCs w:val="24"/>
          <w:lang w:eastAsia="en-AU"/>
        </w:rPr>
        <w:br/>
      </w:r>
      <w:r>
        <w:rPr>
          <w:rFonts w:ascii="Arial" w:eastAsia="Times New Roman" w:hAnsi="Arial" w:cs="Times New Roman"/>
          <w:sz w:val="20"/>
          <w:szCs w:val="24"/>
          <w:lang w:eastAsia="en-AU"/>
        </w:rPr>
        <w:t>more quickly.</w:t>
      </w:r>
    </w:p>
    <w:p w14:paraId="31764D37" w14:textId="77777777" w:rsidR="00AD5825" w:rsidRDefault="00AD5825" w:rsidP="00AD5825">
      <w:pPr>
        <w:pStyle w:val="Heading1"/>
      </w:pPr>
      <w:bookmarkStart w:id="15" w:name="_Toc113546294"/>
      <w:r>
        <w:lastRenderedPageBreak/>
        <w:t>Planning principles</w:t>
      </w:r>
      <w:bookmarkEnd w:id="15"/>
    </w:p>
    <w:p w14:paraId="227D0AE7" w14:textId="79518042" w:rsidR="00AD5825" w:rsidRPr="0088279A" w:rsidRDefault="00AD5825" w:rsidP="00AD5825">
      <w:pPr>
        <w:pStyle w:val="Paragraph"/>
        <w:rPr>
          <w:snapToGrid w:val="0"/>
        </w:rPr>
      </w:pPr>
      <w:r w:rsidRPr="0088279A">
        <w:rPr>
          <w:snapToGrid w:val="0"/>
        </w:rPr>
        <w:t xml:space="preserve">The following principles are proposed to guide the exercise of </w:t>
      </w:r>
      <w:r w:rsidR="00A62335">
        <w:rPr>
          <w:snapToGrid w:val="0"/>
        </w:rPr>
        <w:t>our</w:t>
      </w:r>
      <w:r w:rsidRPr="0088279A">
        <w:rPr>
          <w:snapToGrid w:val="0"/>
        </w:rPr>
        <w:t xml:space="preserve"> power to vary licence area plans to convert AM radio broadcasting transmissions to FM in regional licence areas under subsection 26(2) of the BSA. </w:t>
      </w:r>
    </w:p>
    <w:p w14:paraId="3218042E" w14:textId="2448AD92" w:rsidR="00AD5825" w:rsidRDefault="00AD5825" w:rsidP="00AD5825">
      <w:pPr>
        <w:pStyle w:val="Paragraph"/>
        <w:rPr>
          <w:snapToGrid w:val="0"/>
        </w:rPr>
      </w:pPr>
      <w:r w:rsidRPr="0088279A">
        <w:rPr>
          <w:snapToGrid w:val="0"/>
        </w:rPr>
        <w:t>These planning principles are not intended to be binding on the ACMA</w:t>
      </w:r>
      <w:r w:rsidR="00A62335">
        <w:rPr>
          <w:snapToGrid w:val="0"/>
        </w:rPr>
        <w:t>,</w:t>
      </w:r>
      <w:r w:rsidRPr="0088279A">
        <w:rPr>
          <w:snapToGrid w:val="0"/>
        </w:rPr>
        <w:t xml:space="preserve"> but represent a statement of disposition to guide our prioritisation of planning work.</w:t>
      </w:r>
      <w:r>
        <w:rPr>
          <w:snapToGrid w:val="0"/>
        </w:rPr>
        <w:t xml:space="preserve"> </w:t>
      </w:r>
    </w:p>
    <w:p w14:paraId="5E651E65" w14:textId="41810F80" w:rsidR="00AD5825" w:rsidRDefault="00AD5825" w:rsidP="00AD5825">
      <w:r>
        <w:t xml:space="preserve">From time-to-time during the planning process, circumstances may arise where it is necessary and appropriate for the ACMA to depart from the planning principles. In these instances, we will provide information about any proposed significant departure from the planning principles during a consultation process. </w:t>
      </w:r>
    </w:p>
    <w:p w14:paraId="684BDFAE" w14:textId="233DFD48" w:rsidR="00AD5825" w:rsidRDefault="00AD5825" w:rsidP="00AD5825">
      <w:r>
        <w:rPr>
          <w:rFonts w:cs="Arial"/>
        </w:rPr>
        <w:t>Requests for</w:t>
      </w:r>
      <w:r w:rsidRPr="00506BA2">
        <w:rPr>
          <w:rFonts w:cs="Arial"/>
        </w:rPr>
        <w:t xml:space="preserve"> AM</w:t>
      </w:r>
      <w:r>
        <w:rPr>
          <w:rFonts w:cs="Arial"/>
        </w:rPr>
        <w:t xml:space="preserve"> to </w:t>
      </w:r>
      <w:r w:rsidRPr="00506BA2">
        <w:rPr>
          <w:rFonts w:cs="Arial"/>
        </w:rPr>
        <w:t xml:space="preserve">FM </w:t>
      </w:r>
      <w:r>
        <w:rPr>
          <w:rFonts w:cs="Arial"/>
        </w:rPr>
        <w:t xml:space="preserve">conversions </w:t>
      </w:r>
      <w:r w:rsidRPr="00506BA2">
        <w:rPr>
          <w:rFonts w:cs="Arial"/>
        </w:rPr>
        <w:t>from licensees of community radio</w:t>
      </w:r>
      <w:r>
        <w:rPr>
          <w:rFonts w:cs="Arial"/>
        </w:rPr>
        <w:t xml:space="preserve"> and national</w:t>
      </w:r>
      <w:r w:rsidRPr="00506BA2">
        <w:rPr>
          <w:rFonts w:cs="Arial"/>
        </w:rPr>
        <w:t xml:space="preserve"> broadcasting services</w:t>
      </w:r>
      <w:r>
        <w:rPr>
          <w:rFonts w:cs="Arial"/>
        </w:rPr>
        <w:t xml:space="preserve"> will continue to be considered on a case-by-case basis, in line with </w:t>
      </w:r>
      <w:hyperlink r:id="rId31" w:history="1">
        <w:r w:rsidRPr="00CF7FE6">
          <w:rPr>
            <w:rStyle w:val="Hyperlink"/>
            <w:i/>
            <w:iCs/>
          </w:rPr>
          <w:t>ACMA</w:t>
        </w:r>
        <w:r w:rsidR="00CB06E7">
          <w:rPr>
            <w:rStyle w:val="Hyperlink"/>
            <w:i/>
            <w:iCs/>
          </w:rPr>
          <w:t>’s</w:t>
        </w:r>
        <w:r w:rsidRPr="00CF7FE6">
          <w:rPr>
            <w:rStyle w:val="Hyperlink"/>
            <w:i/>
            <w:iCs/>
          </w:rPr>
          <w:t xml:space="preserve"> approach to broadcast planning and varying licence area plans</w:t>
        </w:r>
      </w:hyperlink>
      <w:r>
        <w:t>. However, we will use these principles when considering requests to co</w:t>
      </w:r>
      <w:r w:rsidR="00A953AA">
        <w:t>n</w:t>
      </w:r>
      <w:r>
        <w:t>vert these services, particularly those aimed at continued coverage for listeners, minimising impact on other broadcasters and achieving spectrum efficiency.</w:t>
      </w:r>
    </w:p>
    <w:p w14:paraId="41D111FE" w14:textId="77777777" w:rsidR="00AD5825" w:rsidRDefault="00AD5825" w:rsidP="00AD5825">
      <w:r>
        <w:t xml:space="preserve">A decision to vary a licence area plan under </w:t>
      </w:r>
      <w:r>
        <w:rPr>
          <w:snapToGrid w:val="0"/>
        </w:rPr>
        <w:t>subsection 26(2) of the BSA</w:t>
      </w:r>
      <w:r>
        <w:t xml:space="preserve"> is made by legislative instrument. B</w:t>
      </w:r>
      <w:r w:rsidRPr="009F588E">
        <w:t xml:space="preserve">efore making a legislative instrument, </w:t>
      </w:r>
      <w:r>
        <w:t>we</w:t>
      </w:r>
      <w:r w:rsidRPr="009F588E">
        <w:t xml:space="preserve"> must be satisfied that appropriate consultation, as is reasonably practicable, has been undertaken</w:t>
      </w:r>
      <w:r>
        <w:t>.</w:t>
      </w:r>
      <w:r>
        <w:rPr>
          <w:rStyle w:val="FootnoteReference"/>
        </w:rPr>
        <w:footnoteReference w:id="3"/>
      </w:r>
      <w:r>
        <w:t xml:space="preserve"> </w:t>
      </w:r>
    </w:p>
    <w:p w14:paraId="0CAC19D0" w14:textId="77777777" w:rsidR="00AD5825" w:rsidRPr="00D36435" w:rsidRDefault="00AD5825" w:rsidP="00AD5825">
      <w:pPr>
        <w:pStyle w:val="Paragraph"/>
      </w:pPr>
      <w:r w:rsidRPr="00F76D64">
        <w:rPr>
          <w:rFonts w:cs="Times New Roman"/>
          <w:snapToGrid w:val="0"/>
        </w:rPr>
        <w:t>The order of the principles do</w:t>
      </w:r>
      <w:r>
        <w:rPr>
          <w:snapToGrid w:val="0"/>
        </w:rPr>
        <w:t>es</w:t>
      </w:r>
      <w:r w:rsidRPr="00F76D64">
        <w:rPr>
          <w:rFonts w:cs="Times New Roman"/>
          <w:snapToGrid w:val="0"/>
        </w:rPr>
        <w:t xml:space="preserve"> not indicate their relative importance. How we balance the principles will be assessed on a case-by-case basis.</w:t>
      </w:r>
    </w:p>
    <w:p w14:paraId="4167008D" w14:textId="77777777" w:rsidR="00AD5825" w:rsidRDefault="00AD5825" w:rsidP="00AD5825">
      <w:pPr>
        <w:pStyle w:val="Heading2"/>
      </w:pPr>
      <w:bookmarkStart w:id="16" w:name="_Toc113546295"/>
      <w:r>
        <w:t>Principle 1: Service to be maintained for listeners</w:t>
      </w:r>
      <w:bookmarkEnd w:id="16"/>
      <w:r>
        <w:t xml:space="preserve"> </w:t>
      </w:r>
    </w:p>
    <w:p w14:paraId="278CFFB6" w14:textId="77777777" w:rsidR="00AD5825" w:rsidRDefault="00AD5825" w:rsidP="00AD5825">
      <w:pPr>
        <w:rPr>
          <w:rFonts w:cs="Arial"/>
        </w:rPr>
      </w:pPr>
      <w:r>
        <w:rPr>
          <w:rFonts w:cs="Arial"/>
        </w:rPr>
        <w:t>We will</w:t>
      </w:r>
      <w:r w:rsidRPr="00506BA2">
        <w:rPr>
          <w:rFonts w:cs="Arial"/>
        </w:rPr>
        <w:t xml:space="preserve"> plan conversions to minimise loss of service</w:t>
      </w:r>
      <w:r>
        <w:rPr>
          <w:rFonts w:cs="Arial"/>
        </w:rPr>
        <w:t xml:space="preserve"> to listeners. </w:t>
      </w:r>
    </w:p>
    <w:p w14:paraId="673A9E77" w14:textId="77777777" w:rsidR="00AD5825" w:rsidRDefault="00AD5825" w:rsidP="00AD5825">
      <w:pPr>
        <w:pStyle w:val="Paragraph"/>
      </w:pPr>
      <w:r>
        <w:t>T</w:t>
      </w:r>
      <w:r w:rsidRPr="00B863B1">
        <w:t>he benefits of AM</w:t>
      </w:r>
      <w:r>
        <w:t xml:space="preserve"> to </w:t>
      </w:r>
      <w:r w:rsidRPr="00B863B1">
        <w:t xml:space="preserve">FM conversion to audiences cannot be realised by those who </w:t>
      </w:r>
      <w:r>
        <w:t>lose the service as a result of conversion</w:t>
      </w:r>
      <w:r w:rsidRPr="00F76D64">
        <w:t>.</w:t>
      </w:r>
    </w:p>
    <w:p w14:paraId="4EDE21A8" w14:textId="07B9AC79" w:rsidR="00AD5825" w:rsidRDefault="00AD5825" w:rsidP="00AD5825">
      <w:pPr>
        <w:pStyle w:val="Paragraph"/>
        <w:rPr>
          <w:rStyle w:val="cf01"/>
          <w:rFonts w:ascii="Arial" w:hAnsi="Arial" w:cs="Arial"/>
          <w:sz w:val="20"/>
          <w:szCs w:val="24"/>
        </w:rPr>
      </w:pPr>
      <w:r w:rsidRPr="00633EF4">
        <w:t>For this reason, we expect that</w:t>
      </w:r>
      <w:r>
        <w:t xml:space="preserve">, as far as is </w:t>
      </w:r>
      <w:r w:rsidRPr="003F03DD">
        <w:t>practical</w:t>
      </w:r>
      <w:r>
        <w:t xml:space="preserve">, </w:t>
      </w:r>
      <w:r w:rsidRPr="00633EF4">
        <w:t xml:space="preserve">FM conversion </w:t>
      </w:r>
      <w:r w:rsidR="00A953AA">
        <w:t xml:space="preserve">should </w:t>
      </w:r>
      <w:r w:rsidRPr="00633EF4">
        <w:t>minimise loss of service and not result in any significant coverage differences for radio listeners</w:t>
      </w:r>
      <w:r w:rsidRPr="00633EF4">
        <w:rPr>
          <w:rStyle w:val="cf01"/>
          <w:rFonts w:ascii="Arial" w:hAnsi="Arial" w:cs="Arial"/>
          <w:sz w:val="20"/>
          <w:szCs w:val="24"/>
        </w:rPr>
        <w:t xml:space="preserve">. </w:t>
      </w:r>
    </w:p>
    <w:p w14:paraId="3ABE0F7C" w14:textId="64406B06" w:rsidR="00AD5825" w:rsidRPr="00633EF4" w:rsidRDefault="00AD5825" w:rsidP="00AD5825">
      <w:pPr>
        <w:pStyle w:val="Paragraph"/>
      </w:pPr>
      <w:r w:rsidRPr="00633EF4">
        <w:t>To assess coverage loss, we will assess the proportion of the population likely to receive the new FM transmission in comparison to the population coverage of the current AM transmitter</w:t>
      </w:r>
      <w:r w:rsidRPr="00AC1B08">
        <w:t xml:space="preserve"> within the</w:t>
      </w:r>
      <w:r w:rsidR="00A23C06">
        <w:t xml:space="preserve"> licensee’s</w:t>
      </w:r>
      <w:r w:rsidRPr="00AC1B08">
        <w:t xml:space="preserve"> licence </w:t>
      </w:r>
      <w:r w:rsidR="00FA7C56" w:rsidRPr="00AC1B08">
        <w:t>area</w:t>
      </w:r>
      <w:r w:rsidR="00FA7C56">
        <w:t>.</w:t>
      </w:r>
    </w:p>
    <w:p w14:paraId="2864DFA4" w14:textId="054378ED" w:rsidR="00AD5825" w:rsidRDefault="00AD5825" w:rsidP="00AD5825">
      <w:pPr>
        <w:pStyle w:val="Paragraph"/>
      </w:pPr>
      <w:r>
        <w:t>The a</w:t>
      </w:r>
      <w:r w:rsidRPr="00B92D32">
        <w:t>pproximati</w:t>
      </w:r>
      <w:r>
        <w:t xml:space="preserve">on of </w:t>
      </w:r>
      <w:r w:rsidRPr="00B92D32">
        <w:t>AM coverage may require FM in</w:t>
      </w:r>
      <w:r>
        <w:t>-</w:t>
      </w:r>
      <w:r w:rsidRPr="00B92D32">
        <w:t xml:space="preserve">fill </w:t>
      </w:r>
      <w:r>
        <w:t>repeater</w:t>
      </w:r>
      <w:r w:rsidRPr="00B92D32">
        <w:t>s</w:t>
      </w:r>
      <w:r>
        <w:rPr>
          <w:rStyle w:val="FootnoteReference"/>
        </w:rPr>
        <w:footnoteReference w:id="4"/>
      </w:r>
      <w:r w:rsidRPr="00B92D32">
        <w:t xml:space="preserve"> as well as a main </w:t>
      </w:r>
      <w:r>
        <w:t xml:space="preserve">FM </w:t>
      </w:r>
      <w:r w:rsidRPr="00B92D32">
        <w:t>transmitter</w:t>
      </w:r>
      <w:r>
        <w:t>.</w:t>
      </w:r>
      <w:r w:rsidRPr="00B92D32">
        <w:t xml:space="preserve"> </w:t>
      </w:r>
      <w:r>
        <w:t xml:space="preserve">When we look at </w:t>
      </w:r>
      <w:r w:rsidRPr="00B92D32">
        <w:t xml:space="preserve">whether FM conversion of a licence is in the public interest, </w:t>
      </w:r>
      <w:r>
        <w:t>we will consider</w:t>
      </w:r>
      <w:r w:rsidRPr="00B92D32">
        <w:t xml:space="preserve"> </w:t>
      </w:r>
      <w:r w:rsidR="00A953AA">
        <w:t xml:space="preserve">whether any necessary </w:t>
      </w:r>
      <w:r w:rsidRPr="00B92D32">
        <w:t>in</w:t>
      </w:r>
      <w:r>
        <w:t>-</w:t>
      </w:r>
      <w:r w:rsidRPr="00B92D32">
        <w:t xml:space="preserve">fill </w:t>
      </w:r>
      <w:r>
        <w:t>repeate</w:t>
      </w:r>
      <w:r w:rsidRPr="00B92D32">
        <w:t xml:space="preserve">rs will be deployed </w:t>
      </w:r>
      <w:r w:rsidR="00065CE2">
        <w:br/>
      </w:r>
      <w:r w:rsidRPr="00B92D32">
        <w:t>and maintained.</w:t>
      </w:r>
    </w:p>
    <w:p w14:paraId="40E45704" w14:textId="77777777" w:rsidR="00AD5825" w:rsidRPr="00F8121D" w:rsidRDefault="00AD5825" w:rsidP="00AD5825">
      <w:pPr>
        <w:pStyle w:val="Paragraph"/>
      </w:pPr>
      <w:r w:rsidRPr="00F76D64">
        <w:t xml:space="preserve">We will also consider </w:t>
      </w:r>
      <w:r>
        <w:t>whether the FM</w:t>
      </w:r>
      <w:r w:rsidRPr="00F76D64">
        <w:t xml:space="preserve"> coverage of a converting service </w:t>
      </w:r>
      <w:r>
        <w:t xml:space="preserve">will be similar to </w:t>
      </w:r>
      <w:r w:rsidRPr="00F76D64">
        <w:t xml:space="preserve">the coverage of the </w:t>
      </w:r>
      <w:r>
        <w:t xml:space="preserve">existing </w:t>
      </w:r>
      <w:r w:rsidRPr="00F76D64">
        <w:t>FM services within the same licence area.</w:t>
      </w:r>
    </w:p>
    <w:p w14:paraId="12EB1663" w14:textId="6CF85885" w:rsidR="00AD5825" w:rsidRPr="00F8121D" w:rsidRDefault="00AD5825" w:rsidP="00AD5825">
      <w:pPr>
        <w:pStyle w:val="Paragraphbeforelist"/>
      </w:pPr>
      <w:r w:rsidRPr="00F76D64">
        <w:lastRenderedPageBreak/>
        <w:t xml:space="preserve">Consistent with the approach applied to the non-competitive markets </w:t>
      </w:r>
      <w:r>
        <w:t>that</w:t>
      </w:r>
      <w:r w:rsidRPr="00F76D64">
        <w:t xml:space="preserve"> have already converted, in considering whether the ‘vast majority’ of listeners can still receive a service, </w:t>
      </w:r>
      <w:r>
        <w:t>we</w:t>
      </w:r>
      <w:r w:rsidRPr="00F76D64">
        <w:t xml:space="preserve"> will have regard to the section 23 planning criteria, including:</w:t>
      </w:r>
    </w:p>
    <w:p w14:paraId="5FC696F3" w14:textId="77777777" w:rsidR="00AD5825" w:rsidRPr="00F8121D" w:rsidRDefault="00AD5825" w:rsidP="00AD5825">
      <w:pPr>
        <w:pStyle w:val="Bulletlevel1"/>
      </w:pPr>
      <w:r w:rsidRPr="00F76D64">
        <w:t>Demographics</w:t>
      </w:r>
      <w:r>
        <w:t xml:space="preserve"> – </w:t>
      </w:r>
      <w:r w:rsidRPr="00F76D64">
        <w:t xml:space="preserve">the proportion of the population within the licence area who receive the AM service that is no longer predicted to receive a service, and the distribution of that population. </w:t>
      </w:r>
      <w:r>
        <w:t>We</w:t>
      </w:r>
      <w:r w:rsidRPr="00F76D64">
        <w:t xml:space="preserve"> will also </w:t>
      </w:r>
      <w:r>
        <w:t>use</w:t>
      </w:r>
      <w:r w:rsidRPr="00F76D64">
        <w:t xml:space="preserve"> the assumption in the </w:t>
      </w:r>
      <w:r>
        <w:t>ACMA</w:t>
      </w:r>
      <w:r w:rsidRPr="00F76D64">
        <w:t xml:space="preserve"> approach</w:t>
      </w:r>
      <w:r>
        <w:t xml:space="preserve"> to broadcast planning</w:t>
      </w:r>
      <w:r w:rsidRPr="00F76D64">
        <w:t xml:space="preserve"> that, when planning the technical characteristics of services, communities with a population of 200 people or more are entitled to expect a service from a broadcaster that is licensed to provide one.</w:t>
      </w:r>
    </w:p>
    <w:p w14:paraId="6099D0F3" w14:textId="77777777" w:rsidR="00AD5825" w:rsidRPr="00F8121D" w:rsidRDefault="00AD5825" w:rsidP="00AD5825">
      <w:pPr>
        <w:pStyle w:val="Bulletlevel1"/>
      </w:pPr>
      <w:r w:rsidRPr="00F76D64">
        <w:t>The number of existing broadcasting services within the licence area</w:t>
      </w:r>
      <w:r>
        <w:t xml:space="preserve"> – </w:t>
      </w:r>
      <w:r w:rsidRPr="00F76D64">
        <w:t>the extent of alternative services available to listeners may be a consideration, as will any available information on listening habits in the area.</w:t>
      </w:r>
    </w:p>
    <w:p w14:paraId="07F1F0F8" w14:textId="77777777" w:rsidR="00AD5825" w:rsidRPr="00F8121D" w:rsidRDefault="00AD5825" w:rsidP="00AD5825">
      <w:pPr>
        <w:pStyle w:val="Bulletlevel1"/>
      </w:pPr>
      <w:r w:rsidRPr="00F76D64">
        <w:t>The technical constraints relating to the delivery or reception of broadcasting services.</w:t>
      </w:r>
    </w:p>
    <w:p w14:paraId="67B602C7" w14:textId="77777777" w:rsidR="00AD5825" w:rsidRDefault="00AD5825" w:rsidP="00AD5825">
      <w:pPr>
        <w:pStyle w:val="Bulletlevel1last"/>
      </w:pPr>
      <w:r>
        <w:t xml:space="preserve">Any </w:t>
      </w:r>
      <w:r w:rsidRPr="00F76D64">
        <w:t xml:space="preserve">other </w:t>
      </w:r>
      <w:r>
        <w:t xml:space="preserve">relevant </w:t>
      </w:r>
      <w:r w:rsidRPr="00F76D64">
        <w:t xml:space="preserve">matters. </w:t>
      </w:r>
    </w:p>
    <w:p w14:paraId="4C957E55" w14:textId="77777777" w:rsidR="00AD5825" w:rsidRPr="006B46E9" w:rsidRDefault="00AD5825" w:rsidP="00AD5825">
      <w:pPr>
        <w:pStyle w:val="Paragraphbeforelist"/>
      </w:pPr>
      <w:bookmarkStart w:id="17" w:name="_Hlk89699356"/>
      <w:r w:rsidRPr="00775AB7">
        <w:t>We recognise that in some cases</w:t>
      </w:r>
      <w:r>
        <w:t>,</w:t>
      </w:r>
      <w:r w:rsidRPr="00775AB7">
        <w:t xml:space="preserve"> it may not be practical or </w:t>
      </w:r>
      <w:r>
        <w:t>feasible</w:t>
      </w:r>
      <w:r w:rsidRPr="00775AB7">
        <w:t xml:space="preserve"> to fully resolve coverage loss resulting from an AM</w:t>
      </w:r>
      <w:r>
        <w:t xml:space="preserve"> to </w:t>
      </w:r>
      <w:r w:rsidRPr="00775AB7">
        <w:t>FM conversion within a licence area, which may affect the existing AM service listeners. For this reason:</w:t>
      </w:r>
    </w:p>
    <w:p w14:paraId="1E1C6E41" w14:textId="1656C47C" w:rsidR="00AD5825" w:rsidRDefault="00CB1B23" w:rsidP="00AD5825">
      <w:pPr>
        <w:pStyle w:val="Bulletlevel1"/>
      </w:pPr>
      <w:r>
        <w:t>W</w:t>
      </w:r>
      <w:r w:rsidR="00AD5825" w:rsidRPr="00775AB7">
        <w:t xml:space="preserve">e </w:t>
      </w:r>
      <w:r w:rsidR="00AD5825">
        <w:t xml:space="preserve">may </w:t>
      </w:r>
      <w:r w:rsidR="00AD5825" w:rsidRPr="00775AB7">
        <w:t xml:space="preserve">consider proposals </w:t>
      </w:r>
      <w:r w:rsidR="00AD5825">
        <w:t>that</w:t>
      </w:r>
      <w:r w:rsidR="00AD5825" w:rsidRPr="00775AB7">
        <w:t xml:space="preserve"> reduce coverage loss in spectrum</w:t>
      </w:r>
      <w:r w:rsidR="00AD5825">
        <w:t>-</w:t>
      </w:r>
      <w:r w:rsidR="00AD5825" w:rsidRPr="00775AB7">
        <w:t>congested areas and ensure that listeners have access to a variety of broadcasting services. Note, this is a change from the current policy</w:t>
      </w:r>
      <w:r w:rsidR="00AD5825">
        <w:t>.</w:t>
      </w:r>
    </w:p>
    <w:p w14:paraId="43BE7241" w14:textId="19BC93D4" w:rsidR="00AD5825" w:rsidRPr="00CA1519" w:rsidRDefault="00CB1B23" w:rsidP="00AD5825">
      <w:pPr>
        <w:pStyle w:val="Bulletlevel1last"/>
        <w:rPr>
          <w:szCs w:val="20"/>
        </w:rPr>
      </w:pPr>
      <w:r>
        <w:t>I</w:t>
      </w:r>
      <w:r w:rsidR="00AD5825" w:rsidRPr="00775AB7">
        <w:t>f there is no</w:t>
      </w:r>
      <w:r w:rsidR="00AD5825">
        <w:t>t</w:t>
      </w:r>
      <w:r w:rsidR="00AD5825" w:rsidRPr="00775AB7">
        <w:t xml:space="preserve"> any other practical or </w:t>
      </w:r>
      <w:r w:rsidR="00AD5825">
        <w:t>feasible</w:t>
      </w:r>
      <w:r w:rsidR="00AD5825" w:rsidRPr="00775AB7">
        <w:t xml:space="preserve"> way to reduce coverage loss, we will expect the service to be simulcast</w:t>
      </w:r>
      <w:r w:rsidR="00AD5825">
        <w:t xml:space="preserve"> (dual coverage)</w:t>
      </w:r>
      <w:r w:rsidR="00AD5825" w:rsidRPr="00775AB7">
        <w:t xml:space="preserve"> in both AM and FM. We would expect the licensee to commit to maintaining AM transmission by making a deed poll to this effect in favour of the ACMA. The minimum time that AM is to be maintained will be assessed on a case-by-case basis</w:t>
      </w:r>
      <w:r w:rsidR="00AD5825">
        <w:t>,</w:t>
      </w:r>
      <w:r w:rsidR="00AD5825" w:rsidRPr="00775AB7">
        <w:t xml:space="preserve"> but is expected to be </w:t>
      </w:r>
      <w:r w:rsidR="00AD5825">
        <w:t xml:space="preserve">a </w:t>
      </w:r>
      <w:r w:rsidR="00AD5825" w:rsidRPr="00775AB7">
        <w:t>number of years.</w:t>
      </w:r>
      <w:r w:rsidR="00AD5825">
        <w:t xml:space="preserve"> </w:t>
      </w:r>
      <w:r w:rsidR="00AD5825" w:rsidRPr="00CA1519">
        <w:rPr>
          <w:szCs w:val="20"/>
        </w:rPr>
        <w:t>Note, this is a change from the current policy</w:t>
      </w:r>
      <w:r w:rsidR="00AD5825">
        <w:rPr>
          <w:szCs w:val="20"/>
        </w:rPr>
        <w:t>.</w:t>
      </w:r>
    </w:p>
    <w:bookmarkEnd w:id="17"/>
    <w:p w14:paraId="7C31FBC1" w14:textId="64BE7C5E" w:rsidR="00AD5825" w:rsidRPr="00D95924" w:rsidRDefault="00AD5825" w:rsidP="00AD5825">
      <w:pPr>
        <w:pStyle w:val="Paragraph"/>
      </w:pPr>
      <w:r>
        <w:t xml:space="preserve">We will not approve conversion proposals where a failure to achieve similar coverage is simply a function of </w:t>
      </w:r>
      <w:r w:rsidR="00C730FD">
        <w:t>the</w:t>
      </w:r>
      <w:r>
        <w:t xml:space="preserve"> commercial preference </w:t>
      </w:r>
      <w:r w:rsidR="00C730FD">
        <w:t>of</w:t>
      </w:r>
      <w:r>
        <w:t xml:space="preserve"> a licensee.</w:t>
      </w:r>
    </w:p>
    <w:p w14:paraId="24941AA5" w14:textId="77777777" w:rsidR="00AD5825" w:rsidRPr="008B35D2" w:rsidDel="00874EFE" w:rsidRDefault="00AD5825" w:rsidP="00AD5825">
      <w:pPr>
        <w:pStyle w:val="Heading2"/>
      </w:pPr>
      <w:bookmarkStart w:id="18" w:name="_Toc113546296"/>
      <w:r w:rsidRPr="00D60175">
        <w:t>Principle 2</w:t>
      </w:r>
      <w:r>
        <w:t xml:space="preserve">: </w:t>
      </w:r>
      <w:r w:rsidRPr="00D60175">
        <w:t xml:space="preserve">AM </w:t>
      </w:r>
      <w:r>
        <w:t>transmission to end after conversion</w:t>
      </w:r>
      <w:bookmarkEnd w:id="18"/>
    </w:p>
    <w:p w14:paraId="60CEE569" w14:textId="77777777" w:rsidR="00AD5825" w:rsidRDefault="00AD5825" w:rsidP="00AD5825">
      <w:r>
        <w:t>This is a conversion program. We expect AM transmissions to fully convert to FM as part of this program unless it is not feasible to do so.</w:t>
      </w:r>
    </w:p>
    <w:p w14:paraId="7C43D332" w14:textId="4A9A7B3F" w:rsidR="00AD5825" w:rsidRDefault="00AD5825" w:rsidP="00AD5825">
      <w:r>
        <w:t>In</w:t>
      </w:r>
      <w:r w:rsidRPr="00506BA2">
        <w:t xml:space="preserve"> order to transition listeners to the FM transmission</w:t>
      </w:r>
      <w:r>
        <w:t>, we will generally require</w:t>
      </w:r>
      <w:r w:rsidRPr="00506BA2">
        <w:t xml:space="preserve"> a </w:t>
      </w:r>
      <w:r w:rsidR="00C70AD5">
        <w:br/>
      </w:r>
      <w:r w:rsidRPr="00506BA2">
        <w:t>28</w:t>
      </w:r>
      <w:r>
        <w:t>-</w:t>
      </w:r>
      <w:r w:rsidRPr="00506BA2">
        <w:t>day simulcast period as a minimum requirement</w:t>
      </w:r>
      <w:r>
        <w:t>, with the AM transmitter to be turned off at the end of the simulcast period</w:t>
      </w:r>
      <w:r w:rsidRPr="00506BA2">
        <w:t xml:space="preserve">. </w:t>
      </w:r>
      <w:r>
        <w:t>We</w:t>
      </w:r>
      <w:r w:rsidRPr="00506BA2">
        <w:t xml:space="preserve"> may permit simulcasting</w:t>
      </w:r>
      <w:r>
        <w:t xml:space="preserve"> </w:t>
      </w:r>
      <w:r w:rsidRPr="00506BA2">
        <w:t>for a longer</w:t>
      </w:r>
      <w:r>
        <w:t xml:space="preserve"> transition</w:t>
      </w:r>
      <w:r w:rsidRPr="00506BA2">
        <w:t xml:space="preserve"> period if the circumstances warrant</w:t>
      </w:r>
      <w:r>
        <w:t xml:space="preserve"> it.</w:t>
      </w:r>
      <w:r w:rsidRPr="00506BA2">
        <w:t xml:space="preserve"> </w:t>
      </w:r>
    </w:p>
    <w:p w14:paraId="510A0E23" w14:textId="77777777" w:rsidR="00AD5825" w:rsidRDefault="00AD5825" w:rsidP="00AD5825">
      <w:pPr>
        <w:pStyle w:val="Paragraph"/>
      </w:pPr>
      <w:r>
        <w:t>We do not propose to plan for FM transmitters to provide FM services only to more populous areas within a licence area, such as major towns, while other parts of the licence area receive AM, in circumstances where FM spectrum is readily available across the licence area.</w:t>
      </w:r>
    </w:p>
    <w:p w14:paraId="09CD40FD" w14:textId="77777777" w:rsidR="00AD5825" w:rsidRDefault="00AD5825" w:rsidP="00AD5825">
      <w:pPr>
        <w:pStyle w:val="Paragraph"/>
      </w:pPr>
      <w:r>
        <w:t xml:space="preserve">If AM coverage within the licence area can be closely matched in FM, we would generally not agree to long-term simulcasts, unless there was a demonstrated benefit to listeners or another good reason. </w:t>
      </w:r>
    </w:p>
    <w:p w14:paraId="2242EF72" w14:textId="77777777" w:rsidR="00AD5825" w:rsidRDefault="00AD5825" w:rsidP="00AD5825">
      <w:r>
        <w:t xml:space="preserve">An example of where we may permit long-term simulcasts is in licence areas where higher-density population centres are surrounded by large areas of low density and highly-dispersed populations. </w:t>
      </w:r>
    </w:p>
    <w:p w14:paraId="7CE8B177" w14:textId="77777777" w:rsidR="00AD5825" w:rsidRDefault="00AD5825" w:rsidP="00AD5825">
      <w:r>
        <w:lastRenderedPageBreak/>
        <w:t xml:space="preserve">In such circumstances, we may consider applications for dual coverage on a case-by-case basis. In considering such an application, we will take into account competing spectrum needs in the licence area and in adjacent licence areas, if applicable. As noted in Principle 1, we will expect the </w:t>
      </w:r>
      <w:r w:rsidRPr="000F09A7">
        <w:t>licensee</w:t>
      </w:r>
      <w:r>
        <w:t xml:space="preserve"> to make</w:t>
      </w:r>
      <w:r w:rsidRPr="007F1DE8">
        <w:rPr>
          <w:rFonts w:cs="Arial"/>
          <w:szCs w:val="20"/>
        </w:rPr>
        <w:t xml:space="preserve"> a deed poll in favour of the ACMA</w:t>
      </w:r>
      <w:r w:rsidRPr="000F09A7">
        <w:t xml:space="preserve"> </w:t>
      </w:r>
      <w:r>
        <w:t>to maintain the AM transmission for a number of years</w:t>
      </w:r>
      <w:r w:rsidRPr="000F09A7">
        <w:t>.</w:t>
      </w:r>
    </w:p>
    <w:p w14:paraId="05ED2642" w14:textId="77777777" w:rsidR="00AD5825" w:rsidRDefault="00AD5825" w:rsidP="00AD5825">
      <w:pPr>
        <w:pStyle w:val="Paragraph"/>
      </w:pPr>
      <w:r>
        <w:t xml:space="preserve">In </w:t>
      </w:r>
      <w:r w:rsidRPr="00F76D64">
        <w:t>circumstances where</w:t>
      </w:r>
      <w:r>
        <w:t xml:space="preserve"> closely</w:t>
      </w:r>
      <w:r w:rsidRPr="00F76D64">
        <w:t xml:space="preserve"> matching the coverage is not practical</w:t>
      </w:r>
      <w:r>
        <w:t xml:space="preserve"> </w:t>
      </w:r>
      <w:r w:rsidRPr="00F76D64">
        <w:t>or effective</w:t>
      </w:r>
      <w:r>
        <w:t>,</w:t>
      </w:r>
      <w:r w:rsidRPr="00F76D64">
        <w:t xml:space="preserve"> we are prepared to consider a licensee’s request to keep AM operating to provide fringe coverage.</w:t>
      </w:r>
      <w:r>
        <w:t xml:space="preserve"> Note, this is a change from the current policy.</w:t>
      </w:r>
    </w:p>
    <w:p w14:paraId="75E1678C" w14:textId="77777777" w:rsidR="00AD5825" w:rsidRDefault="00AD5825" w:rsidP="00AD5825">
      <w:pPr>
        <w:pStyle w:val="Heading2"/>
      </w:pPr>
      <w:bookmarkStart w:id="19" w:name="_Toc113546297"/>
      <w:r w:rsidRPr="00763DDC">
        <w:t xml:space="preserve">Principle </w:t>
      </w:r>
      <w:r>
        <w:t>3: No replanning of existing services unless agreed between affected broadcasters</w:t>
      </w:r>
      <w:bookmarkEnd w:id="19"/>
    </w:p>
    <w:p w14:paraId="634E6131" w14:textId="43F99AF2" w:rsidR="00AD5825" w:rsidRDefault="00AD5825" w:rsidP="00AD5825">
      <w:pPr>
        <w:rPr>
          <w:rFonts w:cs="Arial"/>
        </w:rPr>
      </w:pPr>
      <w:r>
        <w:rPr>
          <w:rFonts w:cs="Arial"/>
        </w:rPr>
        <w:t>We</w:t>
      </w:r>
      <w:r w:rsidRPr="00506BA2">
        <w:rPr>
          <w:rFonts w:cs="Arial"/>
        </w:rPr>
        <w:t xml:space="preserve"> consider that the benefits of conversion to the licensee and to the</w:t>
      </w:r>
      <w:r>
        <w:rPr>
          <w:rFonts w:cs="Arial"/>
        </w:rPr>
        <w:t>ir</w:t>
      </w:r>
      <w:r w:rsidRPr="00506BA2">
        <w:rPr>
          <w:rFonts w:cs="Arial"/>
        </w:rPr>
        <w:t xml:space="preserve"> </w:t>
      </w:r>
      <w:r>
        <w:rPr>
          <w:rFonts w:cs="Arial"/>
        </w:rPr>
        <w:t>audience will</w:t>
      </w:r>
      <w:r w:rsidRPr="00506BA2">
        <w:rPr>
          <w:rFonts w:cs="Arial"/>
        </w:rPr>
        <w:t xml:space="preserve"> not </w:t>
      </w:r>
      <w:r>
        <w:rPr>
          <w:rFonts w:cs="Arial"/>
        </w:rPr>
        <w:t xml:space="preserve">usually be </w:t>
      </w:r>
      <w:r w:rsidRPr="00506BA2">
        <w:rPr>
          <w:rFonts w:cs="Arial"/>
        </w:rPr>
        <w:t>sufficient to warrant imposing costs on other licensees</w:t>
      </w:r>
      <w:r>
        <w:rPr>
          <w:rFonts w:cs="Arial"/>
        </w:rPr>
        <w:t>, due to required changes to operating frequencies, transmission sites or other changes to technical parameters of the affected service</w:t>
      </w:r>
      <w:r w:rsidRPr="00506BA2">
        <w:rPr>
          <w:rFonts w:cs="Arial"/>
        </w:rPr>
        <w:t xml:space="preserve">. </w:t>
      </w:r>
    </w:p>
    <w:p w14:paraId="50F36E0A" w14:textId="77777777" w:rsidR="00AD5825" w:rsidRDefault="00AD5825" w:rsidP="00AD5825">
      <w:r>
        <w:rPr>
          <w:rFonts w:cs="Arial"/>
        </w:rPr>
        <w:t>For this reason, we</w:t>
      </w:r>
      <w:r>
        <w:t xml:space="preserve"> do not propose</w:t>
      </w:r>
      <w:r w:rsidRPr="00506BA2">
        <w:t xml:space="preserve"> to re-plan existing services to make way for conversions unless there is an agreement between the converting </w:t>
      </w:r>
      <w:r>
        <w:t>broadcaster</w:t>
      </w:r>
      <w:r w:rsidRPr="00506BA2">
        <w:t xml:space="preserve"> and the affected </w:t>
      </w:r>
      <w:r>
        <w:t>broadcaster</w:t>
      </w:r>
      <w:r w:rsidRPr="00506BA2">
        <w:t xml:space="preserve"> over </w:t>
      </w:r>
      <w:r>
        <w:t xml:space="preserve">the </w:t>
      </w:r>
      <w:r w:rsidRPr="00506BA2">
        <w:t>mitigation of costs.</w:t>
      </w:r>
      <w:r>
        <w:t xml:space="preserve"> </w:t>
      </w:r>
    </w:p>
    <w:p w14:paraId="25D15C49" w14:textId="77777777" w:rsidR="00AD5825" w:rsidRDefault="00AD5825" w:rsidP="00AD5825">
      <w:r>
        <w:t>It will be a matter for the converting broadcaster to broker the agreement.</w:t>
      </w:r>
    </w:p>
    <w:p w14:paraId="6BCE3083" w14:textId="77777777" w:rsidR="00AD5825" w:rsidRDefault="00AD5825" w:rsidP="00AD5825">
      <w:pPr>
        <w:rPr>
          <w:rFonts w:cs="Arial"/>
        </w:rPr>
      </w:pPr>
      <w:r>
        <w:rPr>
          <w:rFonts w:cs="Arial"/>
        </w:rPr>
        <w:t>We</w:t>
      </w:r>
      <w:r w:rsidRPr="00506BA2">
        <w:rPr>
          <w:rFonts w:cs="Arial"/>
        </w:rPr>
        <w:t xml:space="preserve"> may facilitate options</w:t>
      </w:r>
      <w:r>
        <w:t xml:space="preserve"> – </w:t>
      </w:r>
      <w:r w:rsidRPr="00506BA2">
        <w:rPr>
          <w:rFonts w:cs="Arial"/>
        </w:rPr>
        <w:t xml:space="preserve">such as swapping </w:t>
      </w:r>
      <w:r>
        <w:rPr>
          <w:rFonts w:cs="Arial"/>
        </w:rPr>
        <w:t>frequencies</w:t>
      </w:r>
      <w:r w:rsidRPr="00506BA2">
        <w:rPr>
          <w:rFonts w:cs="Arial"/>
        </w:rPr>
        <w:t xml:space="preserve"> between </w:t>
      </w:r>
      <w:r>
        <w:rPr>
          <w:rFonts w:cs="Arial"/>
        </w:rPr>
        <w:t>a broadcaster</w:t>
      </w:r>
      <w:r w:rsidRPr="00506BA2">
        <w:rPr>
          <w:rFonts w:cs="Arial"/>
        </w:rPr>
        <w:t xml:space="preserve"> seeking conversion and other </w:t>
      </w:r>
      <w:r>
        <w:rPr>
          <w:rFonts w:cs="Arial"/>
        </w:rPr>
        <w:t>broadcaster</w:t>
      </w:r>
      <w:r w:rsidRPr="00506BA2">
        <w:rPr>
          <w:rFonts w:cs="Arial"/>
        </w:rPr>
        <w:t>s</w:t>
      </w:r>
      <w:r>
        <w:rPr>
          <w:rFonts w:cs="Arial"/>
        </w:rPr>
        <w:t xml:space="preserve"> </w:t>
      </w:r>
      <w:r>
        <w:t xml:space="preserve">– </w:t>
      </w:r>
      <w:r w:rsidRPr="00506BA2">
        <w:rPr>
          <w:rFonts w:cs="Arial"/>
        </w:rPr>
        <w:t xml:space="preserve">if the </w:t>
      </w:r>
      <w:r>
        <w:rPr>
          <w:rFonts w:cs="Arial"/>
        </w:rPr>
        <w:t xml:space="preserve">converting </w:t>
      </w:r>
      <w:r w:rsidRPr="00506BA2">
        <w:rPr>
          <w:rFonts w:cs="Arial"/>
        </w:rPr>
        <w:t>licensee pr</w:t>
      </w:r>
      <w:r>
        <w:rPr>
          <w:rFonts w:cs="Arial"/>
        </w:rPr>
        <w:t>ovides us with</w:t>
      </w:r>
      <w:r w:rsidRPr="00506BA2">
        <w:rPr>
          <w:rFonts w:cs="Arial"/>
        </w:rPr>
        <w:t xml:space="preserve"> </w:t>
      </w:r>
      <w:r>
        <w:rPr>
          <w:rFonts w:cs="Arial"/>
        </w:rPr>
        <w:t xml:space="preserve">a </w:t>
      </w:r>
      <w:r w:rsidRPr="00506BA2">
        <w:rPr>
          <w:rFonts w:cs="Arial"/>
        </w:rPr>
        <w:t xml:space="preserve">written agreement </w:t>
      </w:r>
      <w:r>
        <w:rPr>
          <w:rFonts w:cs="Arial"/>
        </w:rPr>
        <w:t xml:space="preserve">developed </w:t>
      </w:r>
      <w:r w:rsidRPr="00506BA2">
        <w:rPr>
          <w:rFonts w:cs="Arial"/>
        </w:rPr>
        <w:t>with the other licensee</w:t>
      </w:r>
      <w:r>
        <w:rPr>
          <w:rFonts w:cs="Arial"/>
        </w:rPr>
        <w:t>s</w:t>
      </w:r>
      <w:r w:rsidRPr="00506BA2">
        <w:rPr>
          <w:rFonts w:cs="Arial"/>
        </w:rPr>
        <w:t xml:space="preserve">. </w:t>
      </w:r>
    </w:p>
    <w:p w14:paraId="6028032E" w14:textId="77777777" w:rsidR="00AD5825" w:rsidRDefault="00AD5825" w:rsidP="00AD5825">
      <w:pPr>
        <w:rPr>
          <w:rFonts w:cs="Arial"/>
        </w:rPr>
      </w:pPr>
      <w:r w:rsidRPr="00506BA2">
        <w:rPr>
          <w:rFonts w:cs="Arial"/>
        </w:rPr>
        <w:t xml:space="preserve">However, </w:t>
      </w:r>
      <w:r>
        <w:rPr>
          <w:rFonts w:cs="Arial"/>
        </w:rPr>
        <w:t>before</w:t>
      </w:r>
      <w:r w:rsidRPr="00506BA2">
        <w:rPr>
          <w:rFonts w:cs="Arial"/>
        </w:rPr>
        <w:t xml:space="preserve"> facilitating such an arrangement, </w:t>
      </w:r>
      <w:r>
        <w:rPr>
          <w:rFonts w:cs="Arial"/>
        </w:rPr>
        <w:t>we</w:t>
      </w:r>
      <w:r w:rsidRPr="00506BA2">
        <w:rPr>
          <w:rFonts w:cs="Arial"/>
        </w:rPr>
        <w:t xml:space="preserve"> would need to form </w:t>
      </w:r>
      <w:r>
        <w:rPr>
          <w:rFonts w:cs="Arial"/>
        </w:rPr>
        <w:t>our</w:t>
      </w:r>
      <w:r w:rsidRPr="00506BA2">
        <w:rPr>
          <w:rFonts w:cs="Arial"/>
        </w:rPr>
        <w:t xml:space="preserve"> own view about whether such an arrangement would support the object</w:t>
      </w:r>
      <w:r>
        <w:rPr>
          <w:rFonts w:cs="Arial"/>
        </w:rPr>
        <w:t>s</w:t>
      </w:r>
      <w:r w:rsidRPr="00506BA2">
        <w:rPr>
          <w:rFonts w:cs="Arial"/>
        </w:rPr>
        <w:t xml:space="preserve"> and broadcasting planning criteria under the </w:t>
      </w:r>
      <w:r>
        <w:rPr>
          <w:rFonts w:cs="Arial"/>
        </w:rPr>
        <w:t>BSA</w:t>
      </w:r>
      <w:r w:rsidRPr="00506BA2">
        <w:rPr>
          <w:rFonts w:cs="Arial"/>
        </w:rPr>
        <w:t xml:space="preserve">. </w:t>
      </w:r>
    </w:p>
    <w:p w14:paraId="7A0EE3A2" w14:textId="77777777" w:rsidR="00AD5825" w:rsidRDefault="00AD5825" w:rsidP="00AD5825">
      <w:pPr>
        <w:rPr>
          <w:rFonts w:cs="Arial"/>
        </w:rPr>
      </w:pPr>
      <w:r>
        <w:rPr>
          <w:rFonts w:cs="Arial"/>
        </w:rPr>
        <w:t>We will also only plan conversions that do not result in interference to existing broadcasters, or overspill into other licence areas, beyond what is strictly necessary to provide the service.</w:t>
      </w:r>
    </w:p>
    <w:p w14:paraId="283FBB95" w14:textId="77777777" w:rsidR="00AD5825" w:rsidRPr="00213436" w:rsidRDefault="00AD5825" w:rsidP="00AD5825">
      <w:pPr>
        <w:pStyle w:val="Heading2"/>
        <w:rPr>
          <w:b w:val="0"/>
          <w:bCs w:val="0"/>
          <w:iCs w:val="0"/>
        </w:rPr>
      </w:pPr>
      <w:bookmarkStart w:id="20" w:name="_Toc113546298"/>
      <w:r w:rsidRPr="00221C97">
        <w:t xml:space="preserve">Principle </w:t>
      </w:r>
      <w:r>
        <w:t xml:space="preserve">4: </w:t>
      </w:r>
      <w:r w:rsidRPr="00221C97">
        <w:t xml:space="preserve">Spectrum to be put to </w:t>
      </w:r>
      <w:r>
        <w:t xml:space="preserve">efficient </w:t>
      </w:r>
      <w:r w:rsidRPr="00221C97">
        <w:t>use</w:t>
      </w:r>
      <w:bookmarkEnd w:id="20"/>
    </w:p>
    <w:p w14:paraId="300C152D" w14:textId="77777777" w:rsidR="00AD5825" w:rsidRDefault="00AD5825" w:rsidP="00AD5825">
      <w:r>
        <w:t>We consider it is generally more efficient to make use of spectrum, as soon as practicable, if it promotes the objects of the BSA.</w:t>
      </w:r>
    </w:p>
    <w:p w14:paraId="5A953537" w14:textId="77777777" w:rsidR="00AD5825" w:rsidRPr="00C3082C" w:rsidRDefault="00AD5825" w:rsidP="00AD5825">
      <w:pPr>
        <w:pStyle w:val="NormalWeb"/>
        <w:rPr>
          <w:rFonts w:ascii="Arial" w:hAnsi="Arial" w:cs="Arial"/>
          <w:sz w:val="20"/>
          <w:szCs w:val="20"/>
        </w:rPr>
      </w:pPr>
      <w:r w:rsidRPr="00775AB7">
        <w:rPr>
          <w:rStyle w:val="cf01"/>
          <w:rFonts w:ascii="Arial" w:hAnsi="Arial" w:cs="Arial"/>
          <w:sz w:val="20"/>
          <w:szCs w:val="20"/>
        </w:rPr>
        <w:t xml:space="preserve">In some regions, limited frequency availability may mean a conversion of all licensees across a number of markets is not possible. In these circumstances, where an AM broadcaster does not </w:t>
      </w:r>
      <w:r>
        <w:rPr>
          <w:rStyle w:val="cf01"/>
          <w:rFonts w:ascii="Arial" w:hAnsi="Arial" w:cs="Arial"/>
          <w:sz w:val="20"/>
          <w:szCs w:val="20"/>
        </w:rPr>
        <w:t xml:space="preserve">progress planning work for </w:t>
      </w:r>
      <w:r w:rsidRPr="00775AB7">
        <w:rPr>
          <w:rStyle w:val="cf01"/>
          <w:rFonts w:ascii="Arial" w:hAnsi="Arial" w:cs="Arial"/>
          <w:sz w:val="20"/>
          <w:szCs w:val="20"/>
        </w:rPr>
        <w:t xml:space="preserve">conversion within a reasonable timeframe, available frequencies may be used to facilitate conversion </w:t>
      </w:r>
      <w:r>
        <w:rPr>
          <w:rStyle w:val="cf01"/>
          <w:rFonts w:ascii="Arial" w:hAnsi="Arial" w:cs="Arial"/>
          <w:sz w:val="20"/>
          <w:szCs w:val="20"/>
        </w:rPr>
        <w:t>of</w:t>
      </w:r>
      <w:r w:rsidRPr="00775AB7">
        <w:rPr>
          <w:rStyle w:val="cf01"/>
          <w:rFonts w:ascii="Arial" w:hAnsi="Arial" w:cs="Arial"/>
          <w:sz w:val="20"/>
          <w:szCs w:val="20"/>
        </w:rPr>
        <w:t xml:space="preserve"> other </w:t>
      </w:r>
      <w:r>
        <w:rPr>
          <w:rStyle w:val="cf01"/>
          <w:rFonts w:ascii="Arial" w:hAnsi="Arial" w:cs="Arial"/>
          <w:sz w:val="20"/>
          <w:szCs w:val="20"/>
        </w:rPr>
        <w:t>AM services</w:t>
      </w:r>
      <w:r w:rsidRPr="00775AB7">
        <w:rPr>
          <w:rStyle w:val="cf01"/>
          <w:rFonts w:ascii="Arial" w:hAnsi="Arial" w:cs="Arial"/>
          <w:sz w:val="20"/>
          <w:szCs w:val="20"/>
        </w:rPr>
        <w:t xml:space="preserve"> where a</w:t>
      </w:r>
      <w:r>
        <w:rPr>
          <w:rStyle w:val="cf01"/>
          <w:rFonts w:ascii="Arial" w:hAnsi="Arial" w:cs="Arial"/>
          <w:sz w:val="20"/>
          <w:szCs w:val="20"/>
        </w:rPr>
        <w:t xml:space="preserve"> licensee’s</w:t>
      </w:r>
      <w:r w:rsidRPr="00775AB7">
        <w:rPr>
          <w:rStyle w:val="cf01"/>
          <w:rFonts w:ascii="Arial" w:hAnsi="Arial" w:cs="Arial"/>
          <w:sz w:val="20"/>
          <w:szCs w:val="20"/>
        </w:rPr>
        <w:t xml:space="preserve"> willingness to proceed is clear</w:t>
      </w:r>
      <w:r>
        <w:rPr>
          <w:rStyle w:val="cf01"/>
          <w:rFonts w:ascii="Arial" w:hAnsi="Arial" w:cs="Arial"/>
          <w:sz w:val="20"/>
          <w:szCs w:val="20"/>
        </w:rPr>
        <w:t>.</w:t>
      </w:r>
    </w:p>
    <w:p w14:paraId="29275EF7" w14:textId="6BD0B936" w:rsidR="00AD5825" w:rsidRDefault="00AD5825" w:rsidP="00AD5825">
      <w:r>
        <w:t xml:space="preserve">We are also prepared to consider repurposing unused FM spectrum for AM to FM conversion. This may include spectrum planned for in LAPs but not currently being used, as well as unused allotments for national broadcasters. We will consult the national broadcasters in these circumstances before making any decisions to </w:t>
      </w:r>
      <w:r w:rsidR="00112E14">
        <w:br/>
      </w:r>
      <w:r>
        <w:t>this effect.</w:t>
      </w:r>
    </w:p>
    <w:p w14:paraId="6672F75B" w14:textId="415E354B" w:rsidR="00AD5825" w:rsidRDefault="00AD5825" w:rsidP="00AD5825">
      <w:r>
        <w:t>Whether unused spectrum is to be repurposed will be decided on a case-by-case basis, following public consultation</w:t>
      </w:r>
      <w:r w:rsidR="00112E14">
        <w:t>.</w:t>
      </w:r>
    </w:p>
    <w:p w14:paraId="63883ECA" w14:textId="77777777" w:rsidR="00AD5825" w:rsidRPr="00311B0F" w:rsidRDefault="00AD5825" w:rsidP="00AD5825">
      <w:r w:rsidRPr="0050693D">
        <w:lastRenderedPageBreak/>
        <w:t>When assessing conversion requests for an area</w:t>
      </w:r>
      <w:r>
        <w:t>, we will consider the purpose of any ministerial reservation</w:t>
      </w:r>
      <w:r w:rsidRPr="00221C97">
        <w:t xml:space="preserve"> </w:t>
      </w:r>
      <w:r>
        <w:t>that gave rise to the allotment of spectrum for national broadcasters, and the national broadcasters’ own plans for conversions and service extensions. We will also consider the availability of spectrum for potential conversions of national services at a future date.</w:t>
      </w:r>
    </w:p>
    <w:p w14:paraId="7CDDB853" w14:textId="59B9FFF1" w:rsidR="00AD5825" w:rsidRPr="00BA0084" w:rsidRDefault="00AD5825" w:rsidP="00AD5825">
      <w:r>
        <w:t>W</w:t>
      </w:r>
      <w:r w:rsidRPr="00311B0F">
        <w:t xml:space="preserve">e will assess and weigh </w:t>
      </w:r>
      <w:r>
        <w:t xml:space="preserve">possible </w:t>
      </w:r>
      <w:r w:rsidRPr="00311B0F">
        <w:t>competing uses of broadcasting spectrum on a case-by-case basis to achieve the optimal planning outcome</w:t>
      </w:r>
      <w:r>
        <w:t xml:space="preserve"> according to the section</w:t>
      </w:r>
      <w:r w:rsidR="00EA2876">
        <w:t> </w:t>
      </w:r>
      <w:r>
        <w:t>23 planning criteria.</w:t>
      </w:r>
    </w:p>
    <w:p w14:paraId="60F54C66" w14:textId="4F9CAC12" w:rsidR="00AD5825" w:rsidRDefault="00AD5825" w:rsidP="00AD5825">
      <w:pPr>
        <w:pStyle w:val="Heading2"/>
      </w:pPr>
      <w:bookmarkStart w:id="21" w:name="_Toc113546299"/>
      <w:r w:rsidRPr="00091D20">
        <w:t>Principl</w:t>
      </w:r>
      <w:r w:rsidRPr="005A2C0D">
        <w:t xml:space="preserve">e </w:t>
      </w:r>
      <w:r>
        <w:t>5: C</w:t>
      </w:r>
      <w:r w:rsidRPr="00221C97">
        <w:t>onversions in s</w:t>
      </w:r>
      <w:r w:rsidRPr="007F0946">
        <w:t>olus</w:t>
      </w:r>
      <w:r w:rsidRPr="00091D20">
        <w:rPr>
          <w:b w:val="0"/>
          <w:bCs w:val="0"/>
          <w:iCs w:val="0"/>
        </w:rPr>
        <w:t xml:space="preserve"> </w:t>
      </w:r>
      <w:r w:rsidRPr="003A6612">
        <w:rPr>
          <w:iCs w:val="0"/>
        </w:rPr>
        <w:t xml:space="preserve">markets </w:t>
      </w:r>
      <w:r>
        <w:rPr>
          <w:iCs w:val="0"/>
        </w:rPr>
        <w:t>currently underway to be finalised</w:t>
      </w:r>
      <w:bookmarkEnd w:id="21"/>
    </w:p>
    <w:p w14:paraId="3D80D5D2" w14:textId="77777777" w:rsidR="00AD5825" w:rsidRDefault="00AD5825" w:rsidP="00AD5825">
      <w:pPr>
        <w:pStyle w:val="Paragraph"/>
      </w:pPr>
      <w:r>
        <w:t xml:space="preserve">We will continue to consider and progress current proposals for conversions in non-competitive markets, while we open the program for conversions in competitive areas so that more listeners can benefit. </w:t>
      </w:r>
    </w:p>
    <w:p w14:paraId="1297C14B" w14:textId="4882217B" w:rsidR="00AD5825" w:rsidRDefault="00AD5825" w:rsidP="00AD5825">
      <w:pPr>
        <w:pStyle w:val="Paragraph"/>
        <w:rPr>
          <w:rStyle w:val="cf01"/>
          <w:rFonts w:ascii="Arial" w:hAnsi="Arial" w:cs="Arial"/>
          <w:sz w:val="20"/>
          <w:szCs w:val="20"/>
        </w:rPr>
      </w:pPr>
      <w:r>
        <w:t xml:space="preserve">We expect to finalise the requests in non-competitive markets that are currently underway and where appropriate spectrum has already been identified. </w:t>
      </w:r>
      <w:bookmarkStart w:id="22" w:name="_Hlk89707427"/>
      <w:r w:rsidRPr="00775AB7">
        <w:rPr>
          <w:rStyle w:val="cf01"/>
          <w:rFonts w:ascii="Arial" w:hAnsi="Arial" w:cs="Arial"/>
          <w:sz w:val="20"/>
          <w:szCs w:val="20"/>
        </w:rPr>
        <w:t>If there is a competing spectrum demand in a region for the conversion of services in a non-competitive market that is already being progressed</w:t>
      </w:r>
      <w:r>
        <w:rPr>
          <w:rStyle w:val="cf01"/>
          <w:rFonts w:ascii="Arial" w:hAnsi="Arial" w:cs="Arial"/>
          <w:sz w:val="20"/>
          <w:szCs w:val="20"/>
        </w:rPr>
        <w:t>,</w:t>
      </w:r>
      <w:r w:rsidRPr="00775AB7">
        <w:rPr>
          <w:rStyle w:val="cf01"/>
          <w:rFonts w:ascii="Arial" w:hAnsi="Arial" w:cs="Arial"/>
          <w:sz w:val="20"/>
          <w:szCs w:val="20"/>
        </w:rPr>
        <w:t xml:space="preserve"> and a competitive market where a new request has been submitted, we </w:t>
      </w:r>
      <w:r>
        <w:rPr>
          <w:rStyle w:val="cf01"/>
          <w:rFonts w:ascii="Arial" w:hAnsi="Arial" w:cs="Arial"/>
          <w:sz w:val="20"/>
          <w:szCs w:val="20"/>
        </w:rPr>
        <w:t xml:space="preserve">will </w:t>
      </w:r>
      <w:r w:rsidRPr="00775AB7">
        <w:rPr>
          <w:rStyle w:val="cf01"/>
          <w:rFonts w:ascii="Arial" w:hAnsi="Arial" w:cs="Arial"/>
          <w:sz w:val="20"/>
          <w:szCs w:val="20"/>
        </w:rPr>
        <w:t>generally expect to give spectrum access priority and plan for the conversion in the non-competitive market</w:t>
      </w:r>
      <w:r w:rsidR="00EA2876">
        <w:rPr>
          <w:rStyle w:val="cf01"/>
          <w:rFonts w:ascii="Arial" w:hAnsi="Arial" w:cs="Arial"/>
          <w:sz w:val="20"/>
          <w:szCs w:val="20"/>
        </w:rPr>
        <w:t xml:space="preserve">. This will be </w:t>
      </w:r>
      <w:r w:rsidRPr="00775AB7">
        <w:rPr>
          <w:rStyle w:val="cf01"/>
          <w:rFonts w:ascii="Arial" w:hAnsi="Arial" w:cs="Arial"/>
          <w:sz w:val="20"/>
          <w:szCs w:val="20"/>
        </w:rPr>
        <w:t xml:space="preserve">subject to </w:t>
      </w:r>
      <w:r>
        <w:rPr>
          <w:rStyle w:val="cf01"/>
          <w:rFonts w:ascii="Arial" w:hAnsi="Arial" w:cs="Arial"/>
          <w:sz w:val="20"/>
          <w:szCs w:val="20"/>
        </w:rPr>
        <w:t xml:space="preserve">conducting a </w:t>
      </w:r>
      <w:r w:rsidRPr="00775AB7">
        <w:rPr>
          <w:rStyle w:val="cf01"/>
          <w:rFonts w:ascii="Arial" w:hAnsi="Arial" w:cs="Arial"/>
          <w:sz w:val="20"/>
          <w:szCs w:val="20"/>
        </w:rPr>
        <w:t xml:space="preserve">case-by-case assessment against the objects of the BSA and the planning criteria in section 23 of the BSA. </w:t>
      </w:r>
    </w:p>
    <w:p w14:paraId="62DF1237" w14:textId="77777777" w:rsidR="00AD5825" w:rsidRDefault="00AD5825" w:rsidP="00AD5825">
      <w:pPr>
        <w:pStyle w:val="Paragraph"/>
        <w:rPr>
          <w:rStyle w:val="cf01"/>
          <w:rFonts w:ascii="Arial" w:hAnsi="Arial" w:cs="Arial"/>
          <w:sz w:val="20"/>
          <w:szCs w:val="20"/>
        </w:rPr>
      </w:pPr>
      <w:r w:rsidRPr="00F915C9">
        <w:rPr>
          <w:rStyle w:val="cf01"/>
          <w:rFonts w:ascii="Arial" w:hAnsi="Arial" w:cs="Arial"/>
          <w:sz w:val="20"/>
          <w:szCs w:val="20"/>
        </w:rPr>
        <w:t xml:space="preserve">As a part of this assessment, we </w:t>
      </w:r>
      <w:r>
        <w:rPr>
          <w:rStyle w:val="cf01"/>
          <w:rFonts w:ascii="Arial" w:hAnsi="Arial" w:cs="Arial"/>
          <w:sz w:val="20"/>
          <w:szCs w:val="20"/>
        </w:rPr>
        <w:t>may</w:t>
      </w:r>
      <w:r w:rsidRPr="00F915C9">
        <w:rPr>
          <w:rStyle w:val="cf01"/>
          <w:rFonts w:ascii="Arial" w:hAnsi="Arial" w:cs="Arial"/>
          <w:sz w:val="20"/>
          <w:szCs w:val="20"/>
        </w:rPr>
        <w:t xml:space="preserve"> consider whether it better promotes the objects of the BSA to use spectrum to plan for conversions in non-competitive markets or deliver benefits to more listeners by planning for conversions in larger population centres in competitive markets. </w:t>
      </w:r>
    </w:p>
    <w:p w14:paraId="22CABC1F" w14:textId="434B3796" w:rsidR="00AD5825" w:rsidRPr="00F915C9" w:rsidRDefault="00AD5825" w:rsidP="00AD5825">
      <w:pPr>
        <w:pStyle w:val="Paragraph"/>
        <w:rPr>
          <w:rStyle w:val="cf01"/>
          <w:rFonts w:ascii="Arial" w:hAnsi="Arial" w:cs="Arial"/>
          <w:sz w:val="20"/>
          <w:szCs w:val="20"/>
        </w:rPr>
      </w:pPr>
      <w:r w:rsidRPr="00F915C9">
        <w:rPr>
          <w:rStyle w:val="cf01"/>
          <w:rFonts w:ascii="Arial" w:hAnsi="Arial" w:cs="Arial"/>
          <w:sz w:val="20"/>
          <w:szCs w:val="20"/>
        </w:rPr>
        <w:t>However, a decision to cease a conversion process that is already underway would require compelling justification.</w:t>
      </w:r>
    </w:p>
    <w:p w14:paraId="569FB991" w14:textId="77777777" w:rsidR="00AD5825" w:rsidRDefault="00AD5825" w:rsidP="00AD5825">
      <w:pPr>
        <w:pStyle w:val="Heading2"/>
      </w:pPr>
      <w:bookmarkStart w:id="23" w:name="_Toc113546300"/>
      <w:bookmarkEnd w:id="22"/>
      <w:r>
        <w:t xml:space="preserve">Principle 6: </w:t>
      </w:r>
      <w:bookmarkStart w:id="24" w:name="_Hlk88034244"/>
      <w:r>
        <w:t>Industry to agree on proceeding with conversion in competitive markets</w:t>
      </w:r>
      <w:bookmarkEnd w:id="24"/>
      <w:bookmarkEnd w:id="23"/>
    </w:p>
    <w:p w14:paraId="489ED461" w14:textId="77777777" w:rsidR="00AD5825" w:rsidRDefault="00AD5825" w:rsidP="00AD5825">
      <w:pPr>
        <w:pStyle w:val="Paragraph"/>
      </w:pPr>
      <w:r>
        <w:t>We expect industry to be involved throughout the conversion process and to collectively agree to conversion arrangements, including any</w:t>
      </w:r>
      <w:r w:rsidRPr="007551FF">
        <w:t xml:space="preserve"> </w:t>
      </w:r>
      <w:r>
        <w:t xml:space="preserve">competing </w:t>
      </w:r>
      <w:r w:rsidRPr="007551FF">
        <w:t>spectrum access</w:t>
      </w:r>
      <w:r>
        <w:t xml:space="preserve"> issues between commercial radio licensees in competitive markets.</w:t>
      </w:r>
    </w:p>
    <w:p w14:paraId="10466BE0" w14:textId="77777777" w:rsidR="00AD5825" w:rsidRDefault="00AD5825" w:rsidP="00AD5825">
      <w:pPr>
        <w:pStyle w:val="Paragraph"/>
      </w:pPr>
      <w:r>
        <w:t>The FM frequency band in m</w:t>
      </w:r>
      <w:r w:rsidRPr="00506BA2">
        <w:t xml:space="preserve">any </w:t>
      </w:r>
      <w:r>
        <w:t>regional</w:t>
      </w:r>
      <w:r w:rsidRPr="00506BA2">
        <w:t xml:space="preserve"> licence areas </w:t>
      </w:r>
      <w:r>
        <w:t xml:space="preserve">is </w:t>
      </w:r>
      <w:r w:rsidRPr="00506BA2">
        <w:t>already congested</w:t>
      </w:r>
      <w:r>
        <w:t>, which means i</w:t>
      </w:r>
      <w:r w:rsidRPr="00506BA2">
        <w:t>t may not be possible to find a suitable frequency to fulfil all conversion requests.</w:t>
      </w:r>
      <w:r>
        <w:t xml:space="preserve"> </w:t>
      </w:r>
    </w:p>
    <w:p w14:paraId="78A533A8" w14:textId="7AB61409" w:rsidR="00AD5825" w:rsidRDefault="00AD5825" w:rsidP="00AD5825">
      <w:pPr>
        <w:pStyle w:val="Paragraph"/>
      </w:pPr>
      <w:r>
        <w:t xml:space="preserve">At the start of a conversion process, we expect commercial radio licensees in competitive licence areas to come to a settled position about the spectrum access priority order for conversion of commercial radio services. This advice will inform any resolution of competing spectrum demand in areas where there is not enough spectrum to convert all AM services. We have identified licence areas that are likely to have interdependent spectrum demands in </w:t>
      </w:r>
      <w:r w:rsidR="00C730FD">
        <w:t xml:space="preserve">the </w:t>
      </w:r>
      <w:r>
        <w:t>Appendix.</w:t>
      </w:r>
    </w:p>
    <w:p w14:paraId="74BBB894" w14:textId="77777777" w:rsidR="00AD5825" w:rsidRDefault="00AD5825" w:rsidP="00AD5825">
      <w:pPr>
        <w:rPr>
          <w:rFonts w:cs="Arial"/>
        </w:rPr>
      </w:pPr>
      <w:r w:rsidRPr="008B2631">
        <w:rPr>
          <w:rFonts w:cs="Arial"/>
        </w:rPr>
        <w:t>Before we start progressing each conversion request in a competitive market, we expect evidence of an agreement on conversion, reached between commercial radio licensees in a licence area and</w:t>
      </w:r>
      <w:r>
        <w:rPr>
          <w:rFonts w:cs="Arial"/>
        </w:rPr>
        <w:t>,</w:t>
      </w:r>
      <w:r w:rsidRPr="008B2631">
        <w:rPr>
          <w:rFonts w:cs="Arial"/>
        </w:rPr>
        <w:t xml:space="preserve"> where relevant, across interdependent licence areas. The agreement should include resolution of any identified spectrum access issues.</w:t>
      </w:r>
    </w:p>
    <w:p w14:paraId="60A4EC0B" w14:textId="1C2A6B5B" w:rsidR="00AD5825" w:rsidRDefault="00AD5825" w:rsidP="00AD5825">
      <w:pPr>
        <w:rPr>
          <w:rFonts w:cs="Arial"/>
        </w:rPr>
      </w:pPr>
      <w:r>
        <w:lastRenderedPageBreak/>
        <w:t>All commercial radio conversion requests will be assessed with all other requests for spectrum access, according to</w:t>
      </w:r>
      <w:r w:rsidR="00EA2876">
        <w:t xml:space="preserve"> </w:t>
      </w:r>
      <w:hyperlink r:id="rId32" w:history="1">
        <w:r w:rsidRPr="0088044E">
          <w:rPr>
            <w:rStyle w:val="Hyperlink"/>
            <w:i/>
            <w:iCs/>
          </w:rPr>
          <w:t>ACMA</w:t>
        </w:r>
        <w:r w:rsidR="00CB06E7">
          <w:rPr>
            <w:rStyle w:val="Hyperlink"/>
            <w:i/>
            <w:iCs/>
          </w:rPr>
          <w:t>’s</w:t>
        </w:r>
        <w:r w:rsidRPr="0088044E">
          <w:rPr>
            <w:rStyle w:val="Hyperlink"/>
            <w:i/>
            <w:iCs/>
          </w:rPr>
          <w:t xml:space="preserve"> approach to broadcast planning and varying licence area plans</w:t>
        </w:r>
      </w:hyperlink>
      <w:r>
        <w:t xml:space="preserve">. Generally, we will assess all conversion requests – whether from commercial radio licensees, national broadcasters or community radio broadcasting licensees – in the order we receive them. </w:t>
      </w:r>
      <w:r>
        <w:rPr>
          <w:rFonts w:cs="Arial"/>
        </w:rPr>
        <w:t>If, during the initial assessment of a commercial radio conversion request, or at any</w:t>
      </w:r>
      <w:r w:rsidR="00C730FD">
        <w:rPr>
          <w:rFonts w:cs="Arial"/>
        </w:rPr>
        <w:t xml:space="preserve"> other</w:t>
      </w:r>
      <w:r>
        <w:rPr>
          <w:rFonts w:cs="Arial"/>
        </w:rPr>
        <w:t xml:space="preserve"> point during the process it becomes apparent that there are competing spectrum demands between commercial radio licensees within a licence area or a region, we will go back to industry with the expectation that the relevant licensees resolve the issues. </w:t>
      </w:r>
    </w:p>
    <w:p w14:paraId="32003997" w14:textId="1C13216D" w:rsidR="00AD5825" w:rsidRDefault="00AD5825" w:rsidP="00AD5825">
      <w:pPr>
        <w:rPr>
          <w:rFonts w:cs="Arial"/>
        </w:rPr>
      </w:pPr>
      <w:r>
        <w:rPr>
          <w:rFonts w:cs="Arial"/>
        </w:rPr>
        <w:t xml:space="preserve">We will pause the work on the requests in question while we await the resolution and continue working on other unaffected requests. </w:t>
      </w:r>
    </w:p>
    <w:p w14:paraId="4DAE164B" w14:textId="1DE11D77" w:rsidR="00AD5825" w:rsidRDefault="00AD5825" w:rsidP="00AD5825">
      <w:pPr>
        <w:rPr>
          <w:rFonts w:cs="Arial"/>
        </w:rPr>
      </w:pPr>
      <w:r>
        <w:rPr>
          <w:rFonts w:cs="Arial"/>
        </w:rPr>
        <w:t xml:space="preserve">Although we expect industry to resolve spectrum access issues between competing commercial radio licences, we will assess all conversion requests – commercial, national and community – according to our statutory requirements. </w:t>
      </w:r>
      <w:r w:rsidR="00FA7C56">
        <w:rPr>
          <w:rFonts w:cs="Arial"/>
        </w:rPr>
        <w:t>Therefore</w:t>
      </w:r>
      <w:r>
        <w:rPr>
          <w:rFonts w:cs="Arial"/>
        </w:rPr>
        <w:t>, agreement is a precondition to our progressing conversion requests, but it is not the only factor that we will consider when deciding whether to approve conversion.</w:t>
      </w:r>
    </w:p>
    <w:p w14:paraId="2A9A1D2E" w14:textId="266AF54F" w:rsidR="00AD5825" w:rsidRDefault="00AD5825" w:rsidP="00AD5825">
      <w:pPr>
        <w:rPr>
          <w:rFonts w:cs="Arial"/>
        </w:rPr>
      </w:pPr>
      <w:r>
        <w:rPr>
          <w:rFonts w:cs="Arial"/>
        </w:rPr>
        <w:t>We will also assess all other spectrum access requests according to these statutory requirements, and as informed by our consultation process. We will resolve competing demands for spectrum between commercial radio licensees and national broadcasters and community licensees by applying the decision-making framework in Part 3 of the</w:t>
      </w:r>
      <w:r w:rsidR="00EA2876">
        <w:rPr>
          <w:rFonts w:cs="Arial"/>
        </w:rPr>
        <w:t> </w:t>
      </w:r>
      <w:r>
        <w:rPr>
          <w:rFonts w:cs="Arial"/>
        </w:rPr>
        <w:t>BSA.</w:t>
      </w:r>
    </w:p>
    <w:p w14:paraId="755E30B2" w14:textId="77777777" w:rsidR="00AD5825" w:rsidRDefault="00AD5825" w:rsidP="00AD5825">
      <w:pPr>
        <w:pStyle w:val="Heading2"/>
      </w:pPr>
      <w:bookmarkStart w:id="25" w:name="_Toc113546301"/>
      <w:r>
        <w:t>Principle 7: Site selection and technical specifications to maximise spectrum efficiency</w:t>
      </w:r>
      <w:bookmarkEnd w:id="25"/>
      <w:r>
        <w:t xml:space="preserve"> </w:t>
      </w:r>
    </w:p>
    <w:p w14:paraId="397F0557" w14:textId="77777777" w:rsidR="00AD5825" w:rsidRDefault="00AD5825" w:rsidP="00AD5825">
      <w:pPr>
        <w:rPr>
          <w:rFonts w:cs="Arial"/>
        </w:rPr>
      </w:pPr>
      <w:r>
        <w:rPr>
          <w:rFonts w:cs="Arial"/>
        </w:rPr>
        <w:t>We will provide guidance and assess the proposed technical planning solutions for conversion requests on the basis of what will maximise spectrum efficiency.</w:t>
      </w:r>
    </w:p>
    <w:p w14:paraId="58FCAB01" w14:textId="77777777" w:rsidR="00AD5825" w:rsidRDefault="00AD5825" w:rsidP="00AD5825">
      <w:pPr>
        <w:pStyle w:val="NormalWeb"/>
        <w:rPr>
          <w:rStyle w:val="cf01"/>
          <w:rFonts w:ascii="Arial" w:hAnsi="Arial" w:cs="Arial"/>
          <w:sz w:val="20"/>
          <w:szCs w:val="20"/>
        </w:rPr>
      </w:pPr>
      <w:r w:rsidRPr="00F915C9">
        <w:rPr>
          <w:rStyle w:val="cf01"/>
          <w:rFonts w:ascii="Arial" w:hAnsi="Arial" w:cs="Arial"/>
          <w:sz w:val="20"/>
          <w:szCs w:val="20"/>
        </w:rPr>
        <w:t>Whil</w:t>
      </w:r>
      <w:r>
        <w:rPr>
          <w:rStyle w:val="cf01"/>
          <w:rFonts w:ascii="Arial" w:hAnsi="Arial" w:cs="Arial"/>
          <w:sz w:val="20"/>
          <w:szCs w:val="20"/>
        </w:rPr>
        <w:t>e</w:t>
      </w:r>
      <w:r w:rsidRPr="00F915C9">
        <w:rPr>
          <w:rStyle w:val="cf01"/>
          <w:rFonts w:ascii="Arial" w:hAnsi="Arial" w:cs="Arial"/>
          <w:sz w:val="20"/>
          <w:szCs w:val="20"/>
        </w:rPr>
        <w:t xml:space="preserve"> a broadcaster may have a commercial preference to have a particular site location or transmitter specifications, our statutory planning responsibilities require us to ensure radiofrequency spectrum is used in an economic and efficient manner. </w:t>
      </w:r>
    </w:p>
    <w:p w14:paraId="70391B61" w14:textId="42F159C1" w:rsidR="00AD5825" w:rsidRPr="00C3082C" w:rsidRDefault="00AD5825" w:rsidP="00AD5825">
      <w:pPr>
        <w:pStyle w:val="NormalWeb"/>
        <w:rPr>
          <w:rFonts w:ascii="Arial" w:hAnsi="Arial" w:cs="Arial"/>
          <w:sz w:val="20"/>
          <w:szCs w:val="20"/>
        </w:rPr>
      </w:pPr>
      <w:r w:rsidRPr="008B2631">
        <w:rPr>
          <w:rStyle w:val="cf01"/>
          <w:rFonts w:ascii="Arial" w:hAnsi="Arial" w:cs="Arial"/>
          <w:sz w:val="20"/>
          <w:szCs w:val="20"/>
        </w:rPr>
        <w:t>This requires consideration of factors other than the preferences of a licensee and may mean that a licensee’s preference is not accepted</w:t>
      </w:r>
      <w:r w:rsidR="00C730FD">
        <w:rPr>
          <w:rStyle w:val="cf01"/>
          <w:rFonts w:ascii="Arial" w:hAnsi="Arial" w:cs="Arial"/>
          <w:sz w:val="20"/>
          <w:szCs w:val="20"/>
        </w:rPr>
        <w:t>.</w:t>
      </w:r>
    </w:p>
    <w:p w14:paraId="59DC4628" w14:textId="77777777" w:rsidR="00AD5825" w:rsidRDefault="00AD5825" w:rsidP="00AD5825">
      <w:pPr>
        <w:pStyle w:val="Heading2"/>
      </w:pPr>
      <w:bookmarkStart w:id="26" w:name="_Toc113546302"/>
      <w:r>
        <w:t>Principle 8: Existing licence areas to stay the same</w:t>
      </w:r>
      <w:bookmarkEnd w:id="26"/>
    </w:p>
    <w:p w14:paraId="727C585A" w14:textId="77777777" w:rsidR="00AD5825" w:rsidRDefault="00AD5825" w:rsidP="00AD5825">
      <w:r>
        <w:t>We</w:t>
      </w:r>
      <w:r w:rsidRPr="00FE7C95">
        <w:t xml:space="preserve"> </w:t>
      </w:r>
      <w:r>
        <w:t>consider</w:t>
      </w:r>
      <w:r w:rsidRPr="00FE7C95">
        <w:t xml:space="preserve"> that licence areas </w:t>
      </w:r>
      <w:r>
        <w:t xml:space="preserve">are fixed markets that </w:t>
      </w:r>
      <w:r w:rsidRPr="00FE7C95">
        <w:t>w</w:t>
      </w:r>
      <w:r>
        <w:t>ill</w:t>
      </w:r>
      <w:r w:rsidRPr="00FE7C95">
        <w:t xml:space="preserve"> not be aggregated</w:t>
      </w:r>
      <w:r>
        <w:t xml:space="preserve"> or reduced for conversions. </w:t>
      </w:r>
    </w:p>
    <w:p w14:paraId="27565D26" w14:textId="77777777" w:rsidR="00AD5825" w:rsidRDefault="00AD5825" w:rsidP="00AD5825">
      <w:r>
        <w:t>While we do not plan for, or protect, fortuitous reception, we may consider whether listeners in one licence area can receive comparable FM services from another licence area, when assessing conversion requests.</w:t>
      </w:r>
    </w:p>
    <w:p w14:paraId="37403660" w14:textId="77777777" w:rsidR="00AD5825" w:rsidRDefault="00AD5825" w:rsidP="00AD5825">
      <w:r>
        <w:t>Fo</w:t>
      </w:r>
      <w:r w:rsidRPr="005527CF">
        <w:t xml:space="preserve">r example, </w:t>
      </w:r>
      <w:r>
        <w:t>we</w:t>
      </w:r>
      <w:r w:rsidRPr="005527CF">
        <w:t xml:space="preserve"> may take account </w:t>
      </w:r>
      <w:r>
        <w:t xml:space="preserve">of </w:t>
      </w:r>
      <w:r w:rsidRPr="005527CF">
        <w:t>fortuitous coverage</w:t>
      </w:r>
      <w:r>
        <w:t>,</w:t>
      </w:r>
      <w:r w:rsidRPr="005527CF">
        <w:t xml:space="preserve"> where a conversion would result in a listening audience losing the fortuitous reception of the AM service (being the only service it can receive), and it would be unable to receive the service fortuitously once converted to FM.</w:t>
      </w:r>
    </w:p>
    <w:p w14:paraId="3572C3DD" w14:textId="77777777" w:rsidR="00AD5825" w:rsidRPr="00221C97" w:rsidRDefault="00AD5825" w:rsidP="00AD5825">
      <w:pPr>
        <w:pStyle w:val="Heading1"/>
      </w:pPr>
      <w:bookmarkStart w:id="27" w:name="_Toc113546303"/>
      <w:r>
        <w:lastRenderedPageBreak/>
        <w:t>P</w:t>
      </w:r>
      <w:r w:rsidRPr="00221C97">
        <w:t>rocess for conversions</w:t>
      </w:r>
      <w:bookmarkEnd w:id="27"/>
    </w:p>
    <w:p w14:paraId="0ED0B79A" w14:textId="77777777" w:rsidR="00AD5825" w:rsidRDefault="00AD5825" w:rsidP="00AD5825">
      <w:pPr>
        <w:pStyle w:val="Heading2"/>
      </w:pPr>
      <w:bookmarkStart w:id="28" w:name="_Toc113546304"/>
      <w:r>
        <w:t>1: Industry to request conversions</w:t>
      </w:r>
      <w:bookmarkEnd w:id="28"/>
    </w:p>
    <w:p w14:paraId="782038E7" w14:textId="77777777" w:rsidR="00AD5825" w:rsidRDefault="00AD5825" w:rsidP="00AD5825">
      <w:r>
        <w:t>In line with Principle 6, we expect competing licensees in neighbouring or interdependent licence areas to collectively reach a settled position about which commercial radio services they would prefer us to convert.</w:t>
      </w:r>
    </w:p>
    <w:p w14:paraId="0733EB56" w14:textId="77777777" w:rsidR="00AD5825" w:rsidRDefault="00AD5825" w:rsidP="00AD5825">
      <w:r>
        <w:rPr>
          <w:rFonts w:cs="Arial"/>
        </w:rPr>
        <w:t xml:space="preserve">When making a conversion request (using the B92 form), we expect industry to provide evidence of the agreement between all affected commercial licensees, as outlined in Principle 6, before we progress the request. </w:t>
      </w:r>
    </w:p>
    <w:p w14:paraId="6DD7E7A1" w14:textId="400D090B" w:rsidR="00AD5825" w:rsidRDefault="00AD5825" w:rsidP="00AD5825">
      <w:pPr>
        <w:pStyle w:val="Heading2"/>
      </w:pPr>
      <w:bookmarkStart w:id="29" w:name="_Toc113546305"/>
      <w:r>
        <w:t>2: Industry consultant</w:t>
      </w:r>
      <w:r w:rsidR="00C730FD">
        <w:t>s</w:t>
      </w:r>
      <w:r>
        <w:t xml:space="preserve"> to develop technical planning solutions for conversions for the ACMA’s consideration</w:t>
      </w:r>
      <w:bookmarkEnd w:id="29"/>
    </w:p>
    <w:p w14:paraId="0EDDFDD5" w14:textId="77777777" w:rsidR="00AD5825" w:rsidRDefault="00AD5825" w:rsidP="00AD5825">
      <w:pPr>
        <w:pStyle w:val="Paragraph"/>
      </w:pPr>
      <w:r>
        <w:t>We</w:t>
      </w:r>
      <w:r w:rsidRPr="00506BA2">
        <w:t xml:space="preserve"> </w:t>
      </w:r>
      <w:r>
        <w:t>will</w:t>
      </w:r>
      <w:r w:rsidRPr="00506BA2">
        <w:t xml:space="preserve"> </w:t>
      </w:r>
      <w:r>
        <w:t>consider the reports from industry consultants for</w:t>
      </w:r>
      <w:r w:rsidRPr="00506BA2">
        <w:t xml:space="preserve"> most </w:t>
      </w:r>
      <w:r>
        <w:t>requests for commercial conversions</w:t>
      </w:r>
      <w:r w:rsidRPr="00506BA2">
        <w:t xml:space="preserve">. </w:t>
      </w:r>
      <w:r>
        <w:t>Note, the ACMA does not expect this for other non-commercial LAP variation requests.</w:t>
      </w:r>
    </w:p>
    <w:p w14:paraId="755F8F0B" w14:textId="7EBC82DD" w:rsidR="00AD5825" w:rsidRDefault="00AD5825" w:rsidP="00AD5825">
      <w:pPr>
        <w:pStyle w:val="Paragraph"/>
      </w:pPr>
      <w:r w:rsidRPr="00506BA2">
        <w:t xml:space="preserve">This work </w:t>
      </w:r>
      <w:r>
        <w:t>is to</w:t>
      </w:r>
      <w:r w:rsidRPr="00506BA2">
        <w:t xml:space="preserve"> be conducted in accordance with</w:t>
      </w:r>
      <w:r>
        <w:t xml:space="preserve"> our engineering guidance set out on </w:t>
      </w:r>
      <w:r w:rsidR="00EA2876">
        <w:t>our</w:t>
      </w:r>
      <w:r>
        <w:t xml:space="preserve"> </w:t>
      </w:r>
      <w:hyperlink r:id="rId33">
        <w:r w:rsidRPr="0060424E">
          <w:rPr>
            <w:color w:val="0000FF"/>
            <w:u w:val="single" w:color="0000FF"/>
          </w:rPr>
          <w:t xml:space="preserve">broadcast planning resources </w:t>
        </w:r>
      </w:hyperlink>
      <w:r>
        <w:t>web page. This provides</w:t>
      </w:r>
      <w:r w:rsidRPr="00506BA2">
        <w:t xml:space="preserve"> guidance on</w:t>
      </w:r>
      <w:r>
        <w:t xml:space="preserve"> </w:t>
      </w:r>
      <w:r w:rsidRPr="00506BA2">
        <w:t>how frequencies are to be selected for new services without compromising existing services through interference.</w:t>
      </w:r>
    </w:p>
    <w:p w14:paraId="6DFFA1D0" w14:textId="77777777" w:rsidR="00AD5825" w:rsidRDefault="00AD5825" w:rsidP="00AD5825">
      <w:pPr>
        <w:pStyle w:val="Paragraph"/>
      </w:pPr>
      <w:r>
        <w:t xml:space="preserve">Once the consultant’s work is complete, we will assess the engineering work and work with the consultant to resolve any engineering concerns. </w:t>
      </w:r>
    </w:p>
    <w:p w14:paraId="02EF9C7B" w14:textId="77777777" w:rsidR="00AD5825" w:rsidRPr="00CC0724" w:rsidRDefault="00AD5825" w:rsidP="00AD5825">
      <w:pPr>
        <w:pStyle w:val="Heading2"/>
      </w:pPr>
      <w:bookmarkStart w:id="30" w:name="_Toc113546306"/>
      <w:r>
        <w:t>3: ACMA to consider spectrum needs in the wider area</w:t>
      </w:r>
      <w:bookmarkEnd w:id="30"/>
      <w:r>
        <w:t xml:space="preserve"> </w:t>
      </w:r>
    </w:p>
    <w:p w14:paraId="3D52CE29" w14:textId="77777777" w:rsidR="00AD5825" w:rsidRDefault="00AD5825" w:rsidP="00AD5825">
      <w:pPr>
        <w:rPr>
          <w:rFonts w:cs="Arial"/>
          <w:szCs w:val="20"/>
        </w:rPr>
      </w:pPr>
      <w:r>
        <w:rPr>
          <w:rFonts w:cs="Arial"/>
          <w:szCs w:val="20"/>
        </w:rPr>
        <w:t xml:space="preserve">As is our usual practice, we will consider interdependent licence areas as a group when conversion planning. </w:t>
      </w:r>
    </w:p>
    <w:p w14:paraId="2CBBCC92" w14:textId="77777777" w:rsidR="00AD5825" w:rsidRDefault="00AD5825" w:rsidP="00AD5825">
      <w:r w:rsidRPr="00506BA2">
        <w:t>Consideration of existing services in adjacent</w:t>
      </w:r>
      <w:r>
        <w:t xml:space="preserve"> or interdependent</w:t>
      </w:r>
      <w:r w:rsidRPr="00506BA2">
        <w:t xml:space="preserve"> licence areas and those of national </w:t>
      </w:r>
      <w:r>
        <w:t xml:space="preserve">or community </w:t>
      </w:r>
      <w:r w:rsidRPr="00506BA2">
        <w:t xml:space="preserve">broadcasters </w:t>
      </w:r>
      <w:r>
        <w:t>is</w:t>
      </w:r>
      <w:r w:rsidRPr="00506BA2">
        <w:t xml:space="preserve"> relevant because they may constrain the availability of frequencies in the area being planned. </w:t>
      </w:r>
    </w:p>
    <w:p w14:paraId="3BA3C712" w14:textId="77777777" w:rsidR="00AD5825" w:rsidRDefault="00AD5825" w:rsidP="00AD5825">
      <w:r>
        <w:t xml:space="preserve">It may not be possible to progress conversions in the area until spectrum needed for conversion in neighbouring or interdependent areas is identified. </w:t>
      </w:r>
    </w:p>
    <w:p w14:paraId="1518C2B3" w14:textId="3953FE96" w:rsidR="00AD5825" w:rsidRDefault="00AD5825" w:rsidP="00AD5825">
      <w:r>
        <w:t xml:space="preserve">In line with Principle 6, if we identify </w:t>
      </w:r>
      <w:r w:rsidRPr="00BA1206">
        <w:t xml:space="preserve">competing spectrum demands, the relevant licensees </w:t>
      </w:r>
      <w:r>
        <w:t>will</w:t>
      </w:r>
      <w:r w:rsidRPr="00BA1206">
        <w:t xml:space="preserve"> need to come to an agreement about access to spectrum before </w:t>
      </w:r>
      <w:r>
        <w:t>we</w:t>
      </w:r>
      <w:r w:rsidRPr="00BA1206">
        <w:t xml:space="preserve"> continue </w:t>
      </w:r>
      <w:r>
        <w:t>our</w:t>
      </w:r>
      <w:r w:rsidRPr="00BA1206">
        <w:t xml:space="preserve"> work on the conversion</w:t>
      </w:r>
      <w:r w:rsidR="00C730FD">
        <w:t>(</w:t>
      </w:r>
      <w:r w:rsidRPr="00BA1206">
        <w:t>s</w:t>
      </w:r>
      <w:r w:rsidR="00C730FD">
        <w:t>)</w:t>
      </w:r>
      <w:r w:rsidRPr="00BA1206">
        <w:t xml:space="preserve"> in question.</w:t>
      </w:r>
    </w:p>
    <w:p w14:paraId="71F2199A" w14:textId="77777777" w:rsidR="00AD5825" w:rsidRDefault="00AD5825" w:rsidP="00AD5825">
      <w:pPr>
        <w:pStyle w:val="Heading2"/>
        <w:keepLines/>
      </w:pPr>
      <w:bookmarkStart w:id="31" w:name="_Toc113546307"/>
      <w:r>
        <w:lastRenderedPageBreak/>
        <w:t>4: ACMA to assess all planning requests for a licence area together</w:t>
      </w:r>
      <w:bookmarkEnd w:id="31"/>
    </w:p>
    <w:p w14:paraId="6FCD1B35" w14:textId="77777777" w:rsidR="00AD5825" w:rsidRDefault="00AD5825" w:rsidP="00AD5825">
      <w:pPr>
        <w:keepNext/>
        <w:keepLines/>
      </w:pPr>
      <w:r>
        <w:t xml:space="preserve">We will assess all outstanding requests – whether or not they are for conversion – that relate to a particular LAP when we consider conversion requests for a licence area. </w:t>
      </w:r>
    </w:p>
    <w:p w14:paraId="2A99C09C" w14:textId="77777777" w:rsidR="00AD5825" w:rsidRDefault="00AD5825" w:rsidP="00AD5825">
      <w:pPr>
        <w:keepNext/>
        <w:keepLines/>
      </w:pPr>
      <w:r>
        <w:t>T</w:t>
      </w:r>
      <w:r w:rsidRPr="00506BA2">
        <w:t xml:space="preserve">here may be cases where </w:t>
      </w:r>
      <w:r>
        <w:t>we have</w:t>
      </w:r>
      <w:r w:rsidRPr="00506BA2">
        <w:t xml:space="preserve"> one or more LAP variation request</w:t>
      </w:r>
      <w:r>
        <w:t>s</w:t>
      </w:r>
      <w:r w:rsidRPr="00506BA2">
        <w:t xml:space="preserve"> on hand </w:t>
      </w:r>
      <w:r>
        <w:t>that</w:t>
      </w:r>
      <w:r w:rsidRPr="00506BA2">
        <w:t xml:space="preserve"> would compete for an available frequency.</w:t>
      </w:r>
      <w:r>
        <w:t xml:space="preserve"> </w:t>
      </w:r>
    </w:p>
    <w:p w14:paraId="677ED9FD" w14:textId="77777777" w:rsidR="00AD5825" w:rsidRDefault="00AD5825" w:rsidP="00AD5825">
      <w:pPr>
        <w:keepNext/>
        <w:keepLines/>
      </w:pPr>
      <w:r>
        <w:t xml:space="preserve">Conversions will not necessarily be given priority to access spectrum over other spectrum uses. </w:t>
      </w:r>
    </w:p>
    <w:p w14:paraId="087DBD65" w14:textId="77777777" w:rsidR="00AD5825" w:rsidRDefault="00AD5825" w:rsidP="00AD5825">
      <w:r w:rsidRPr="00506BA2">
        <w:t xml:space="preserve">In </w:t>
      </w:r>
      <w:r>
        <w:t>all</w:t>
      </w:r>
      <w:r w:rsidRPr="00506BA2">
        <w:t xml:space="preserve"> cases</w:t>
      </w:r>
      <w:r>
        <w:t>,</w:t>
      </w:r>
      <w:r w:rsidRPr="00506BA2">
        <w:t xml:space="preserve"> </w:t>
      </w:r>
      <w:r>
        <w:t>we</w:t>
      </w:r>
      <w:r w:rsidRPr="00506BA2">
        <w:t xml:space="preserve"> will consider </w:t>
      </w:r>
      <w:r w:rsidRPr="006F3CE8">
        <w:t>which</w:t>
      </w:r>
      <w:r w:rsidRPr="00506BA2">
        <w:t xml:space="preserve"> use of the spectrum best promotes the objects of the </w:t>
      </w:r>
      <w:r>
        <w:t>BSA</w:t>
      </w:r>
      <w:r w:rsidRPr="00506BA2">
        <w:t>.</w:t>
      </w:r>
    </w:p>
    <w:p w14:paraId="5AD7702E" w14:textId="77777777" w:rsidR="00AD5825" w:rsidRDefault="00AD5825" w:rsidP="00AD5825">
      <w:pPr>
        <w:pStyle w:val="Heading2"/>
      </w:pPr>
      <w:bookmarkStart w:id="32" w:name="_Toc113546308"/>
      <w:r>
        <w:t>5: ACMA to consult on the conversion work program and other planning priority activities</w:t>
      </w:r>
      <w:bookmarkEnd w:id="32"/>
    </w:p>
    <w:p w14:paraId="15F78029" w14:textId="7EACAC9A" w:rsidR="00AD5825" w:rsidRDefault="00AD5825" w:rsidP="00AD5825">
      <w:pPr>
        <w:pStyle w:val="Paragraph"/>
      </w:pPr>
      <w:r>
        <w:t xml:space="preserve">We will include conversions in our annual work program, in accordance with industry advice, as part of the FYSO process. We will include conversion requests for the remaining solus licence areas and future competitive licence areas, as we work through the engineering and policy issues. </w:t>
      </w:r>
    </w:p>
    <w:p w14:paraId="52FC6A81" w14:textId="77777777" w:rsidR="00AD5825" w:rsidRPr="00DF4F46" w:rsidRDefault="00AD5825" w:rsidP="00AD5825">
      <w:pPr>
        <w:pStyle w:val="Paragraph"/>
      </w:pPr>
      <w:bookmarkStart w:id="33" w:name="_Hlk90972622"/>
      <w:r>
        <w:t>We generally progress conversion requests using the</w:t>
      </w:r>
      <w:r w:rsidRPr="00DF4F46">
        <w:t xml:space="preserve"> first-in-time method </w:t>
      </w:r>
      <w:r>
        <w:t xml:space="preserve">for </w:t>
      </w:r>
      <w:r w:rsidRPr="00DF4F46">
        <w:t>each stage of the process</w:t>
      </w:r>
      <w:r>
        <w:t>.</w:t>
      </w:r>
      <w:r>
        <w:rPr>
          <w:rStyle w:val="FootnoteReference"/>
        </w:rPr>
        <w:footnoteReference w:id="5"/>
      </w:r>
      <w:r>
        <w:t xml:space="preserve"> This is</w:t>
      </w:r>
      <w:r w:rsidRPr="00DF4F46">
        <w:t xml:space="preserve"> effectively how </w:t>
      </w:r>
      <w:r>
        <w:t>non-competitive</w:t>
      </w:r>
      <w:r w:rsidRPr="00DF4F46">
        <w:t xml:space="preserve"> markets conversions have been processed to date. This means that in each stage of the process, requests are processed chronologically </w:t>
      </w:r>
      <w:r>
        <w:t>as</w:t>
      </w:r>
      <w:r w:rsidRPr="00DF4F46">
        <w:t xml:space="preserve"> requested information relevant to that stage</w:t>
      </w:r>
      <w:r>
        <w:t xml:space="preserve"> is received</w:t>
      </w:r>
      <w:r w:rsidRPr="00DF4F46">
        <w:t xml:space="preserve">. </w:t>
      </w:r>
      <w:r>
        <w:t>M</w:t>
      </w:r>
      <w:r w:rsidRPr="00DF4F46">
        <w:t>arkets that are ready would move to the next stage, whereas others, where more complex issues are encountered</w:t>
      </w:r>
      <w:r>
        <w:t>,</w:t>
      </w:r>
      <w:r w:rsidRPr="00DF4F46">
        <w:t xml:space="preserve"> may stay longer in a particular stage. </w:t>
      </w:r>
    </w:p>
    <w:bookmarkEnd w:id="33"/>
    <w:p w14:paraId="388EA6E3" w14:textId="77777777" w:rsidR="00AD5825" w:rsidRDefault="00AD5825" w:rsidP="00AD5825">
      <w:pPr>
        <w:pStyle w:val="Paragraph"/>
      </w:pPr>
      <w:r>
        <w:t xml:space="preserve">To minimise delays, all conversions in regional markets will be considered to be on an equal footing when setting the work plan priorities. </w:t>
      </w:r>
    </w:p>
    <w:p w14:paraId="53A52C01" w14:textId="77777777" w:rsidR="00AD5825" w:rsidRDefault="00AD5825" w:rsidP="00AD5825">
      <w:pPr>
        <w:pStyle w:val="Paragraph"/>
      </w:pPr>
      <w:r>
        <w:t>We will prioritise regional conversion requests, along with our other broadcast spectrum planning priorities. The annual work program will also contain our initiatives, such as technical studies and replanning proposals.</w:t>
      </w:r>
    </w:p>
    <w:p w14:paraId="0295FE87" w14:textId="77777777" w:rsidR="00AD5825" w:rsidRDefault="00AD5825" w:rsidP="00AD5825">
      <w:pPr>
        <w:pStyle w:val="Paragraph"/>
      </w:pPr>
      <w:r>
        <w:t>Currently,</w:t>
      </w:r>
      <w:r w:rsidRPr="009614AF">
        <w:t xml:space="preserve"> the FYSO only reflects those LAP </w:t>
      </w:r>
      <w:r>
        <w:t xml:space="preserve">variation </w:t>
      </w:r>
      <w:r w:rsidRPr="009614AF">
        <w:t xml:space="preserve">tasks where all the engineering and policy issues have been resolved and the related LAP is ready to be consulted on and made. It is proposed that </w:t>
      </w:r>
      <w:r>
        <w:t>in the future, the</w:t>
      </w:r>
      <w:r w:rsidRPr="009614AF">
        <w:t xml:space="preserve"> scope of the </w:t>
      </w:r>
      <w:r>
        <w:t>projects</w:t>
      </w:r>
      <w:r w:rsidRPr="009614AF">
        <w:t xml:space="preserve"> in the FYSO </w:t>
      </w:r>
      <w:r>
        <w:t>w</w:t>
      </w:r>
      <w:r w:rsidRPr="009614AF">
        <w:t xml:space="preserve">ould be widened to include the </w:t>
      </w:r>
      <w:r>
        <w:t xml:space="preserve">prioritisation and the </w:t>
      </w:r>
      <w:r w:rsidRPr="009614AF">
        <w:t xml:space="preserve">status of </w:t>
      </w:r>
      <w:r>
        <w:t xml:space="preserve">work in the </w:t>
      </w:r>
      <w:r w:rsidRPr="009614AF">
        <w:t xml:space="preserve">earlier stages in the planning process, including </w:t>
      </w:r>
      <w:r>
        <w:t xml:space="preserve">flagging </w:t>
      </w:r>
      <w:r w:rsidRPr="009614AF">
        <w:t xml:space="preserve">the </w:t>
      </w:r>
      <w:r>
        <w:t>licence areas for which we</w:t>
      </w:r>
      <w:r w:rsidRPr="009614AF">
        <w:t xml:space="preserve"> are awaiting feedback from, or resolution by, industry</w:t>
      </w:r>
      <w:r>
        <w:t>.</w:t>
      </w:r>
    </w:p>
    <w:p w14:paraId="4F52448E" w14:textId="77777777" w:rsidR="00AD5825" w:rsidRDefault="00AD5825" w:rsidP="00AD5825">
      <w:pPr>
        <w:pStyle w:val="Paragraph"/>
      </w:pPr>
      <w:r>
        <w:t xml:space="preserve">Although prioritised planning activities, including conversions, will generally proceed ahead of non-prioritised activities, this may not always be the case. In some cases, we may consider a lower priority request may better promote the objects of the BSA than a request in a higher-priority class because it is a more economic and efficient use of spectrum in the specific circumstances. </w:t>
      </w:r>
    </w:p>
    <w:p w14:paraId="221CC851" w14:textId="41667BFE" w:rsidR="00AD5825" w:rsidRDefault="00AD5825" w:rsidP="00AD5825">
      <w:pPr>
        <w:pStyle w:val="Paragraph"/>
      </w:pPr>
      <w:r>
        <w:lastRenderedPageBreak/>
        <w:t xml:space="preserve">It may sometimes be efficient for us to progress other LAP variation requests and broadcast spectrum planning tasks, while engineering solutions for conversions in particular areas are worked through with industry consultation engineers. </w:t>
      </w:r>
      <w:r w:rsidRPr="001E4A77">
        <w:t>If</w:t>
      </w:r>
      <w:r>
        <w:t xml:space="preserve">, at any stage of the process, engineering or policy issues are identified that affect multiple licensees, </w:t>
      </w:r>
      <w:r w:rsidRPr="001E4A77">
        <w:t>we will go back to industry with the expectation that the relevant licensees resolve the</w:t>
      </w:r>
      <w:r>
        <w:t xml:space="preserve"> identified</w:t>
      </w:r>
      <w:r w:rsidRPr="001E4A77">
        <w:t xml:space="preserve"> issues. We will pause the work on the requests in question while we await the resolution and continue working on other, unaffected, requests.</w:t>
      </w:r>
      <w:r>
        <w:t xml:space="preserve"> We will use the FYSO process to update industry on any changes to our annual work plan, such as adding additional planning work and advising of unanticipated delays.</w:t>
      </w:r>
    </w:p>
    <w:p w14:paraId="453D95E8" w14:textId="13AF966B" w:rsidR="00AD5825" w:rsidRDefault="00AD5825" w:rsidP="00AD5825">
      <w:pPr>
        <w:pStyle w:val="Heading2"/>
      </w:pPr>
      <w:bookmarkStart w:id="34" w:name="_Toc113546309"/>
      <w:r>
        <w:t>6: ACMA to consult on LAP variations when they are</w:t>
      </w:r>
      <w:r w:rsidR="003B565B">
        <w:t> </w:t>
      </w:r>
      <w:r>
        <w:t>ready</w:t>
      </w:r>
      <w:bookmarkEnd w:id="34"/>
    </w:p>
    <w:p w14:paraId="66ACADE2" w14:textId="77777777" w:rsidR="00AD5825" w:rsidRDefault="00AD5825" w:rsidP="00AD5825">
      <w:pPr>
        <w:pStyle w:val="Paragraph"/>
      </w:pPr>
      <w:r>
        <w:t xml:space="preserve">We will consult on LAP variations in the order that they are prepared, rather than in the order in which requests are received by the ACMA. </w:t>
      </w:r>
    </w:p>
    <w:p w14:paraId="0997B7AF" w14:textId="77777777" w:rsidR="00AD5825" w:rsidRDefault="00AD5825" w:rsidP="00AD5825">
      <w:pPr>
        <w:pStyle w:val="Paragraph"/>
      </w:pPr>
      <w:r>
        <w:t xml:space="preserve">There may be delays in resolving engineering issues, or assessing policy issues, which means that some requests will be easier and quicker to progress than others. Rather than delay the conversion program, we will prepare consultation packages when the agreed planning solution is complete, subject to our other work priorities. </w:t>
      </w:r>
    </w:p>
    <w:p w14:paraId="1C6E5C5D" w14:textId="77777777" w:rsidR="00AD5825" w:rsidRDefault="00AD5825" w:rsidP="00AD5825">
      <w:pPr>
        <w:pStyle w:val="Paragraph"/>
      </w:pPr>
      <w:r>
        <w:t>To maximise efficiency and move the program forward, we may not always be able to follow the anticipated timeframes outlined in the FYSO. We will update industry of any changes through the FYSO process.</w:t>
      </w:r>
    </w:p>
    <w:p w14:paraId="4B1F0D76" w14:textId="3A7A4995" w:rsidR="009F466F" w:rsidRDefault="009F466F" w:rsidP="009F466F">
      <w:pPr>
        <w:pStyle w:val="Heading1"/>
      </w:pPr>
      <w:bookmarkStart w:id="35" w:name="_Toc113546310"/>
      <w:r>
        <w:lastRenderedPageBreak/>
        <w:t>Appendix</w:t>
      </w:r>
      <w:r w:rsidR="003B565B">
        <w:t>:</w:t>
      </w:r>
      <w:r w:rsidR="001A2D10">
        <w:t xml:space="preserve"> </w:t>
      </w:r>
      <w:r w:rsidR="00E03073">
        <w:t>I</w:t>
      </w:r>
      <w:r>
        <w:t xml:space="preserve">nterdependencies between </w:t>
      </w:r>
      <w:r w:rsidR="00E03073">
        <w:t xml:space="preserve">regional </w:t>
      </w:r>
      <w:r>
        <w:t>licence areas</w:t>
      </w:r>
      <w:bookmarkEnd w:id="35"/>
      <w:r w:rsidR="00E03073">
        <w:t xml:space="preserve"> </w:t>
      </w:r>
    </w:p>
    <w:p w14:paraId="2C13F595" w14:textId="6BA18B9E" w:rsidR="00E03073" w:rsidRPr="005A2C0D" w:rsidRDefault="00206B0F" w:rsidP="00221C97">
      <w:r>
        <w:t>T</w:t>
      </w:r>
      <w:r w:rsidR="00E03073">
        <w:t xml:space="preserve">his </w:t>
      </w:r>
      <w:r>
        <w:t>a</w:t>
      </w:r>
      <w:r w:rsidR="00E03073">
        <w:t>ppendix</w:t>
      </w:r>
      <w:r>
        <w:t xml:space="preserve"> </w:t>
      </w:r>
      <w:r w:rsidR="00E03073">
        <w:t>provide</w:t>
      </w:r>
      <w:r>
        <w:t>s</w:t>
      </w:r>
      <w:r w:rsidR="00E03073">
        <w:t xml:space="preserve"> a </w:t>
      </w:r>
      <w:r w:rsidR="00C44130">
        <w:t xml:space="preserve">preliminary </w:t>
      </w:r>
      <w:r w:rsidR="00E03073">
        <w:t xml:space="preserve">analysis </w:t>
      </w:r>
      <w:r w:rsidR="00542672">
        <w:t xml:space="preserve">of the interdependencies between </w:t>
      </w:r>
      <w:r w:rsidR="003732D2">
        <w:t xml:space="preserve">regional </w:t>
      </w:r>
      <w:r w:rsidR="00542672">
        <w:t>licence areas with AM services.</w:t>
      </w:r>
      <w:r w:rsidR="00415742">
        <w:t xml:space="preserve"> </w:t>
      </w:r>
    </w:p>
    <w:p w14:paraId="244DEBB5" w14:textId="07F95BC2" w:rsidR="00E03073" w:rsidRPr="00B31BF4" w:rsidRDefault="00542672" w:rsidP="007763A1">
      <w:pPr>
        <w:pStyle w:val="Tableheading"/>
      </w:pPr>
      <w:r>
        <w:t>S</w:t>
      </w:r>
      <w:r w:rsidR="00E03073">
        <w:t xml:space="preserve">olus licence areas with commercial </w:t>
      </w:r>
      <w:r>
        <w:t xml:space="preserve">AM service </w:t>
      </w:r>
      <w:r w:rsidR="00E03073">
        <w:t xml:space="preserve">where </w:t>
      </w:r>
      <w:r>
        <w:t>conversion</w:t>
      </w:r>
      <w:r w:rsidR="00AA2A17">
        <w:t xml:space="preserve"> has been</w:t>
      </w:r>
      <w:r>
        <w:t xml:space="preserve"> </w:t>
      </w:r>
      <w:r w:rsidR="00E03073">
        <w:t>request</w:t>
      </w:r>
      <w:r>
        <w:t>ed</w:t>
      </w:r>
    </w:p>
    <w:tbl>
      <w:tblPr>
        <w:tblStyle w:val="ACMAtablestyle"/>
        <w:tblW w:w="8212" w:type="dxa"/>
        <w:tblLayout w:type="fixed"/>
        <w:tblLook w:val="04A0" w:firstRow="1" w:lastRow="0" w:firstColumn="1" w:lastColumn="0" w:noHBand="0" w:noVBand="1"/>
      </w:tblPr>
      <w:tblGrid>
        <w:gridCol w:w="2738"/>
        <w:gridCol w:w="2737"/>
        <w:gridCol w:w="2737"/>
      </w:tblGrid>
      <w:tr w:rsidR="00542672" w:rsidRPr="00B31BF4" w14:paraId="3DAD6951" w14:textId="77777777" w:rsidTr="00A02860">
        <w:trPr>
          <w:cnfStyle w:val="100000000000" w:firstRow="1" w:lastRow="0" w:firstColumn="0" w:lastColumn="0" w:oddVBand="0" w:evenVBand="0" w:oddHBand="0" w:evenHBand="0" w:firstRowFirstColumn="0" w:firstRowLastColumn="0" w:lastRowFirstColumn="0" w:lastRowLastColumn="0"/>
        </w:trPr>
        <w:tc>
          <w:tcPr>
            <w:tcW w:w="0" w:type="dxa"/>
            <w:hideMark/>
          </w:tcPr>
          <w:p w14:paraId="5C584721" w14:textId="77777777" w:rsidR="00542672" w:rsidRPr="00206B0F" w:rsidRDefault="00542672" w:rsidP="00206B0F">
            <w:pPr>
              <w:spacing w:after="0"/>
              <w:contextualSpacing/>
              <w:rPr>
                <w:rFonts w:cs="Arial"/>
                <w:b/>
                <w:bCs/>
                <w:szCs w:val="20"/>
              </w:rPr>
            </w:pPr>
            <w:r w:rsidRPr="00206B0F">
              <w:rPr>
                <w:rFonts w:cs="Arial"/>
                <w:b/>
                <w:bCs/>
                <w:szCs w:val="20"/>
              </w:rPr>
              <w:t>State</w:t>
            </w:r>
          </w:p>
        </w:tc>
        <w:tc>
          <w:tcPr>
            <w:tcW w:w="0" w:type="dxa"/>
            <w:hideMark/>
          </w:tcPr>
          <w:p w14:paraId="41ADA105" w14:textId="77777777" w:rsidR="00542672" w:rsidRPr="00206B0F" w:rsidRDefault="00542672" w:rsidP="00206B0F">
            <w:pPr>
              <w:spacing w:after="0"/>
              <w:contextualSpacing/>
              <w:rPr>
                <w:rFonts w:cs="Arial"/>
                <w:b/>
                <w:bCs/>
                <w:szCs w:val="20"/>
              </w:rPr>
            </w:pPr>
            <w:r w:rsidRPr="00206B0F">
              <w:rPr>
                <w:rFonts w:cs="Arial"/>
                <w:b/>
                <w:bCs/>
                <w:szCs w:val="20"/>
              </w:rPr>
              <w:t>Licence area</w:t>
            </w:r>
          </w:p>
        </w:tc>
        <w:tc>
          <w:tcPr>
            <w:tcW w:w="0" w:type="dxa"/>
          </w:tcPr>
          <w:p w14:paraId="3D07031A" w14:textId="77777777" w:rsidR="00542672" w:rsidRPr="00206B0F" w:rsidRDefault="00542672" w:rsidP="00206B0F">
            <w:pPr>
              <w:spacing w:after="0"/>
              <w:contextualSpacing/>
              <w:rPr>
                <w:rFonts w:cs="Arial"/>
                <w:b/>
                <w:bCs/>
                <w:szCs w:val="20"/>
              </w:rPr>
            </w:pPr>
            <w:r w:rsidRPr="00206B0F">
              <w:rPr>
                <w:rFonts w:cs="Arial"/>
                <w:b/>
                <w:bCs/>
                <w:szCs w:val="20"/>
              </w:rPr>
              <w:t>Interdependencies</w:t>
            </w:r>
          </w:p>
        </w:tc>
      </w:tr>
      <w:tr w:rsidR="00542672" w:rsidRPr="006423CF" w14:paraId="408A7421" w14:textId="77777777" w:rsidTr="00A02860">
        <w:trPr>
          <w:cnfStyle w:val="000000100000" w:firstRow="0" w:lastRow="0" w:firstColumn="0" w:lastColumn="0" w:oddVBand="0" w:evenVBand="0" w:oddHBand="1" w:evenHBand="0" w:firstRowFirstColumn="0" w:firstRowLastColumn="0" w:lastRowFirstColumn="0" w:lastRowLastColumn="0"/>
          <w:trHeight w:val="52"/>
        </w:trPr>
        <w:tc>
          <w:tcPr>
            <w:tcW w:w="0" w:type="dxa"/>
            <w:vMerge w:val="restart"/>
          </w:tcPr>
          <w:p w14:paraId="40AE27F6" w14:textId="77777777" w:rsidR="00542672" w:rsidRPr="00206B0F" w:rsidRDefault="00542672" w:rsidP="00206B0F">
            <w:pPr>
              <w:spacing w:after="0"/>
              <w:contextualSpacing/>
              <w:rPr>
                <w:rFonts w:cs="Arial"/>
                <w:b/>
                <w:bCs/>
                <w:szCs w:val="20"/>
              </w:rPr>
            </w:pPr>
            <w:r w:rsidRPr="00206B0F">
              <w:rPr>
                <w:rFonts w:cs="Arial"/>
                <w:b/>
                <w:bCs/>
                <w:szCs w:val="20"/>
              </w:rPr>
              <w:t>New South Wales</w:t>
            </w:r>
          </w:p>
        </w:tc>
        <w:tc>
          <w:tcPr>
            <w:tcW w:w="0" w:type="dxa"/>
            <w:hideMark/>
          </w:tcPr>
          <w:p w14:paraId="743FD28B" w14:textId="77777777" w:rsidR="00542672" w:rsidRPr="00206B0F" w:rsidRDefault="00542672" w:rsidP="00206B0F">
            <w:pPr>
              <w:spacing w:after="0"/>
              <w:contextualSpacing/>
              <w:rPr>
                <w:rFonts w:cs="Arial"/>
                <w:szCs w:val="20"/>
              </w:rPr>
            </w:pPr>
            <w:r w:rsidRPr="00206B0F">
              <w:rPr>
                <w:rFonts w:cs="Arial"/>
                <w:szCs w:val="20"/>
              </w:rPr>
              <w:t>Griffith</w:t>
            </w:r>
          </w:p>
        </w:tc>
        <w:tc>
          <w:tcPr>
            <w:tcW w:w="0" w:type="dxa"/>
          </w:tcPr>
          <w:p w14:paraId="4F7D17F4" w14:textId="242E55F2" w:rsidR="00542672" w:rsidRPr="00206B0F" w:rsidRDefault="00542672" w:rsidP="00206B0F">
            <w:pPr>
              <w:spacing w:after="0"/>
              <w:contextualSpacing/>
              <w:rPr>
                <w:rFonts w:cs="Arial"/>
                <w:szCs w:val="20"/>
              </w:rPr>
            </w:pPr>
            <w:r w:rsidRPr="00206B0F">
              <w:rPr>
                <w:rFonts w:cs="Arial"/>
                <w:szCs w:val="20"/>
              </w:rPr>
              <w:t>S</w:t>
            </w:r>
            <w:r w:rsidR="003B565B">
              <w:rPr>
                <w:rFonts w:cs="Arial"/>
                <w:szCs w:val="20"/>
              </w:rPr>
              <w:t>ou</w:t>
            </w:r>
            <w:r w:rsidRPr="00206B0F">
              <w:rPr>
                <w:rFonts w:cs="Arial"/>
                <w:szCs w:val="20"/>
              </w:rPr>
              <w:t>th</w:t>
            </w:r>
            <w:r w:rsidR="003B565B">
              <w:rPr>
                <w:rFonts w:cs="Arial"/>
                <w:szCs w:val="20"/>
              </w:rPr>
              <w:t>er</w:t>
            </w:r>
            <w:r w:rsidRPr="00206B0F">
              <w:rPr>
                <w:rFonts w:cs="Arial"/>
                <w:szCs w:val="20"/>
              </w:rPr>
              <w:t>n NSW/West</w:t>
            </w:r>
            <w:r w:rsidR="003B565B">
              <w:rPr>
                <w:rFonts w:cs="Arial"/>
                <w:szCs w:val="20"/>
              </w:rPr>
              <w:t>ern</w:t>
            </w:r>
            <w:r w:rsidRPr="00206B0F">
              <w:rPr>
                <w:rFonts w:cs="Arial"/>
                <w:szCs w:val="20"/>
              </w:rPr>
              <w:t xml:space="preserve"> Vic</w:t>
            </w:r>
            <w:r w:rsidR="003B565B">
              <w:rPr>
                <w:rFonts w:cs="Arial"/>
                <w:szCs w:val="20"/>
              </w:rPr>
              <w:t>toria</w:t>
            </w:r>
          </w:p>
        </w:tc>
      </w:tr>
      <w:tr w:rsidR="00542672" w:rsidRPr="006423CF" w14:paraId="17BEE42B" w14:textId="77777777" w:rsidTr="00A02860">
        <w:trPr>
          <w:cnfStyle w:val="000000010000" w:firstRow="0" w:lastRow="0" w:firstColumn="0" w:lastColumn="0" w:oddVBand="0" w:evenVBand="0" w:oddHBand="0" w:evenHBand="1" w:firstRowFirstColumn="0" w:firstRowLastColumn="0" w:lastRowFirstColumn="0" w:lastRowLastColumn="0"/>
          <w:trHeight w:val="186"/>
        </w:trPr>
        <w:tc>
          <w:tcPr>
            <w:tcW w:w="0" w:type="dxa"/>
            <w:vMerge/>
            <w:hideMark/>
          </w:tcPr>
          <w:p w14:paraId="1A95E4BE" w14:textId="77777777" w:rsidR="00542672" w:rsidRPr="00206B0F" w:rsidRDefault="00542672" w:rsidP="00206B0F">
            <w:pPr>
              <w:spacing w:after="0"/>
              <w:contextualSpacing/>
              <w:rPr>
                <w:rFonts w:cs="Arial"/>
                <w:szCs w:val="20"/>
              </w:rPr>
            </w:pPr>
          </w:p>
        </w:tc>
        <w:tc>
          <w:tcPr>
            <w:tcW w:w="0" w:type="dxa"/>
            <w:hideMark/>
          </w:tcPr>
          <w:p w14:paraId="0374FCD5" w14:textId="77777777" w:rsidR="00542672" w:rsidRPr="00206B0F" w:rsidRDefault="00542672" w:rsidP="00206B0F">
            <w:pPr>
              <w:spacing w:after="0"/>
              <w:contextualSpacing/>
              <w:rPr>
                <w:rFonts w:cs="Arial"/>
                <w:szCs w:val="20"/>
              </w:rPr>
            </w:pPr>
            <w:r w:rsidRPr="00206B0F">
              <w:rPr>
                <w:rFonts w:cs="Arial"/>
                <w:szCs w:val="20"/>
              </w:rPr>
              <w:t>Gunnedah</w:t>
            </w:r>
          </w:p>
        </w:tc>
        <w:tc>
          <w:tcPr>
            <w:tcW w:w="0" w:type="dxa"/>
          </w:tcPr>
          <w:p w14:paraId="3A142682" w14:textId="77777777" w:rsidR="00542672" w:rsidRPr="00206B0F" w:rsidRDefault="00542672" w:rsidP="00206B0F">
            <w:pPr>
              <w:spacing w:after="0"/>
              <w:contextualSpacing/>
              <w:rPr>
                <w:rFonts w:cs="Arial"/>
                <w:szCs w:val="20"/>
              </w:rPr>
            </w:pPr>
            <w:r w:rsidRPr="00206B0F">
              <w:rPr>
                <w:rFonts w:cs="Arial"/>
                <w:szCs w:val="20"/>
              </w:rPr>
              <w:t>Inland NSW</w:t>
            </w:r>
          </w:p>
        </w:tc>
      </w:tr>
      <w:tr w:rsidR="00542672" w:rsidRPr="006423CF" w14:paraId="55C418D4"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1143FE1F" w14:textId="77777777" w:rsidR="00542672" w:rsidRPr="00206B0F" w:rsidRDefault="00542672" w:rsidP="00206B0F">
            <w:pPr>
              <w:spacing w:after="0"/>
              <w:contextualSpacing/>
              <w:rPr>
                <w:rFonts w:cs="Arial"/>
                <w:szCs w:val="20"/>
              </w:rPr>
            </w:pPr>
          </w:p>
        </w:tc>
        <w:tc>
          <w:tcPr>
            <w:tcW w:w="0" w:type="dxa"/>
            <w:hideMark/>
          </w:tcPr>
          <w:p w14:paraId="78789D16" w14:textId="77777777" w:rsidR="00542672" w:rsidRPr="00206B0F" w:rsidRDefault="00542672" w:rsidP="00206B0F">
            <w:pPr>
              <w:spacing w:after="0"/>
              <w:contextualSpacing/>
              <w:rPr>
                <w:rFonts w:cs="Arial"/>
                <w:szCs w:val="20"/>
              </w:rPr>
            </w:pPr>
            <w:r w:rsidRPr="00206B0F">
              <w:rPr>
                <w:rFonts w:cs="Arial"/>
                <w:szCs w:val="20"/>
              </w:rPr>
              <w:t>Inverell</w:t>
            </w:r>
          </w:p>
        </w:tc>
        <w:tc>
          <w:tcPr>
            <w:tcW w:w="0" w:type="dxa"/>
          </w:tcPr>
          <w:p w14:paraId="462F4D2D" w14:textId="77777777" w:rsidR="00542672" w:rsidRPr="00206B0F" w:rsidRDefault="00542672" w:rsidP="00206B0F">
            <w:pPr>
              <w:spacing w:after="0"/>
              <w:contextualSpacing/>
              <w:rPr>
                <w:rFonts w:cs="Arial"/>
                <w:szCs w:val="20"/>
              </w:rPr>
            </w:pPr>
            <w:r w:rsidRPr="00206B0F">
              <w:rPr>
                <w:rFonts w:cs="Arial"/>
                <w:szCs w:val="20"/>
              </w:rPr>
              <w:t>Inland NSW</w:t>
            </w:r>
          </w:p>
        </w:tc>
      </w:tr>
      <w:tr w:rsidR="00542672" w:rsidRPr="006423CF" w14:paraId="728F51E2"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hideMark/>
          </w:tcPr>
          <w:p w14:paraId="5EF96FE1" w14:textId="77777777" w:rsidR="00542672" w:rsidRPr="00206B0F" w:rsidRDefault="00542672" w:rsidP="00206B0F">
            <w:pPr>
              <w:spacing w:after="0"/>
              <w:contextualSpacing/>
              <w:rPr>
                <w:rFonts w:cs="Arial"/>
                <w:szCs w:val="20"/>
              </w:rPr>
            </w:pPr>
          </w:p>
        </w:tc>
        <w:tc>
          <w:tcPr>
            <w:tcW w:w="0" w:type="dxa"/>
            <w:hideMark/>
          </w:tcPr>
          <w:p w14:paraId="2245F60A" w14:textId="77777777" w:rsidR="00542672" w:rsidRPr="00206B0F" w:rsidRDefault="00542672" w:rsidP="00206B0F">
            <w:pPr>
              <w:spacing w:after="0"/>
              <w:contextualSpacing/>
              <w:rPr>
                <w:rFonts w:cs="Arial"/>
                <w:szCs w:val="20"/>
              </w:rPr>
            </w:pPr>
            <w:r w:rsidRPr="00206B0F">
              <w:rPr>
                <w:rFonts w:cs="Arial"/>
                <w:szCs w:val="20"/>
              </w:rPr>
              <w:t>Lismore</w:t>
            </w:r>
          </w:p>
        </w:tc>
        <w:tc>
          <w:tcPr>
            <w:tcW w:w="0" w:type="dxa"/>
          </w:tcPr>
          <w:p w14:paraId="70FC954D" w14:textId="77777777" w:rsidR="00542672" w:rsidRPr="00206B0F" w:rsidRDefault="00542672" w:rsidP="00206B0F">
            <w:pPr>
              <w:spacing w:after="0"/>
              <w:contextualSpacing/>
              <w:rPr>
                <w:rFonts w:cs="Arial"/>
                <w:szCs w:val="20"/>
              </w:rPr>
            </w:pPr>
            <w:r w:rsidRPr="00206B0F">
              <w:rPr>
                <w:rFonts w:cs="Arial"/>
                <w:szCs w:val="20"/>
              </w:rPr>
              <w:t>n/a</w:t>
            </w:r>
          </w:p>
        </w:tc>
      </w:tr>
      <w:tr w:rsidR="00542672" w:rsidRPr="006423CF" w14:paraId="0A891C82"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tcPr>
          <w:p w14:paraId="7F453C3D" w14:textId="77777777" w:rsidR="00542672" w:rsidRPr="00206B0F" w:rsidRDefault="00542672" w:rsidP="00206B0F">
            <w:pPr>
              <w:spacing w:after="0"/>
              <w:contextualSpacing/>
              <w:rPr>
                <w:rFonts w:cs="Arial"/>
                <w:szCs w:val="20"/>
              </w:rPr>
            </w:pPr>
          </w:p>
        </w:tc>
        <w:tc>
          <w:tcPr>
            <w:tcW w:w="0" w:type="dxa"/>
          </w:tcPr>
          <w:p w14:paraId="1E24FB28" w14:textId="77777777" w:rsidR="00542672" w:rsidRPr="00206B0F" w:rsidRDefault="00542672" w:rsidP="00206B0F">
            <w:pPr>
              <w:spacing w:after="0"/>
              <w:contextualSpacing/>
              <w:rPr>
                <w:rFonts w:cs="Arial"/>
                <w:szCs w:val="20"/>
              </w:rPr>
            </w:pPr>
            <w:r w:rsidRPr="00206B0F">
              <w:rPr>
                <w:rFonts w:cs="Arial"/>
                <w:szCs w:val="20"/>
              </w:rPr>
              <w:t>Lithgow</w:t>
            </w:r>
          </w:p>
        </w:tc>
        <w:tc>
          <w:tcPr>
            <w:tcW w:w="0" w:type="dxa"/>
          </w:tcPr>
          <w:p w14:paraId="0BC3DEEA" w14:textId="77777777" w:rsidR="00542672" w:rsidRPr="00206B0F" w:rsidRDefault="00542672" w:rsidP="00206B0F">
            <w:pPr>
              <w:spacing w:after="0"/>
              <w:contextualSpacing/>
              <w:rPr>
                <w:rFonts w:cs="Arial"/>
                <w:szCs w:val="20"/>
              </w:rPr>
            </w:pPr>
            <w:r w:rsidRPr="00206B0F">
              <w:rPr>
                <w:rFonts w:cs="Arial"/>
                <w:szCs w:val="20"/>
              </w:rPr>
              <w:t>n/a</w:t>
            </w:r>
          </w:p>
        </w:tc>
      </w:tr>
      <w:tr w:rsidR="00542672" w:rsidRPr="006423CF" w14:paraId="675B2E17"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hideMark/>
          </w:tcPr>
          <w:p w14:paraId="49176B09" w14:textId="77777777" w:rsidR="00542672" w:rsidRPr="00206B0F" w:rsidRDefault="00542672" w:rsidP="00206B0F">
            <w:pPr>
              <w:spacing w:after="0"/>
              <w:contextualSpacing/>
              <w:rPr>
                <w:rFonts w:cs="Arial"/>
                <w:szCs w:val="20"/>
              </w:rPr>
            </w:pPr>
          </w:p>
        </w:tc>
        <w:tc>
          <w:tcPr>
            <w:tcW w:w="0" w:type="dxa"/>
            <w:hideMark/>
          </w:tcPr>
          <w:p w14:paraId="227220DF" w14:textId="77777777" w:rsidR="00542672" w:rsidRPr="00206B0F" w:rsidRDefault="00542672" w:rsidP="00206B0F">
            <w:pPr>
              <w:spacing w:after="0"/>
              <w:contextualSpacing/>
              <w:rPr>
                <w:rFonts w:cs="Arial"/>
                <w:szCs w:val="20"/>
              </w:rPr>
            </w:pPr>
            <w:r w:rsidRPr="00206B0F">
              <w:rPr>
                <w:rFonts w:cs="Arial"/>
                <w:szCs w:val="20"/>
              </w:rPr>
              <w:t>Moree</w:t>
            </w:r>
          </w:p>
        </w:tc>
        <w:tc>
          <w:tcPr>
            <w:tcW w:w="0" w:type="dxa"/>
          </w:tcPr>
          <w:p w14:paraId="0F63D45F" w14:textId="77777777" w:rsidR="00542672" w:rsidRPr="00206B0F" w:rsidRDefault="00542672" w:rsidP="00206B0F">
            <w:pPr>
              <w:spacing w:after="0"/>
              <w:contextualSpacing/>
              <w:rPr>
                <w:rFonts w:cs="Arial"/>
                <w:szCs w:val="20"/>
              </w:rPr>
            </w:pPr>
            <w:r w:rsidRPr="00206B0F">
              <w:rPr>
                <w:rFonts w:cs="Arial"/>
                <w:szCs w:val="20"/>
              </w:rPr>
              <w:t>n/a</w:t>
            </w:r>
          </w:p>
        </w:tc>
      </w:tr>
      <w:tr w:rsidR="00542672" w:rsidRPr="006423CF" w14:paraId="46489E35"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tcPr>
          <w:p w14:paraId="30041740" w14:textId="77777777" w:rsidR="00542672" w:rsidRPr="00206B0F" w:rsidRDefault="00542672" w:rsidP="00206B0F">
            <w:pPr>
              <w:spacing w:after="0"/>
              <w:contextualSpacing/>
              <w:rPr>
                <w:rFonts w:cs="Arial"/>
                <w:szCs w:val="20"/>
              </w:rPr>
            </w:pPr>
          </w:p>
        </w:tc>
        <w:tc>
          <w:tcPr>
            <w:tcW w:w="0" w:type="dxa"/>
          </w:tcPr>
          <w:p w14:paraId="27FCC57F" w14:textId="77777777" w:rsidR="00542672" w:rsidRPr="00206B0F" w:rsidRDefault="00542672" w:rsidP="00206B0F">
            <w:pPr>
              <w:spacing w:after="0"/>
              <w:contextualSpacing/>
              <w:rPr>
                <w:rFonts w:cs="Arial"/>
                <w:szCs w:val="20"/>
              </w:rPr>
            </w:pPr>
            <w:r w:rsidRPr="00206B0F">
              <w:rPr>
                <w:rFonts w:cs="Arial"/>
                <w:szCs w:val="20"/>
              </w:rPr>
              <w:t>Mudgee</w:t>
            </w:r>
          </w:p>
        </w:tc>
        <w:tc>
          <w:tcPr>
            <w:tcW w:w="0" w:type="dxa"/>
          </w:tcPr>
          <w:p w14:paraId="27316B69" w14:textId="77777777" w:rsidR="00542672" w:rsidRPr="00206B0F" w:rsidRDefault="00542672" w:rsidP="00206B0F">
            <w:pPr>
              <w:spacing w:after="0"/>
              <w:contextualSpacing/>
              <w:rPr>
                <w:rFonts w:cs="Arial"/>
                <w:szCs w:val="20"/>
              </w:rPr>
            </w:pPr>
            <w:r w:rsidRPr="00206B0F">
              <w:rPr>
                <w:rFonts w:cs="Arial"/>
                <w:szCs w:val="20"/>
              </w:rPr>
              <w:t>n/a</w:t>
            </w:r>
          </w:p>
        </w:tc>
      </w:tr>
      <w:tr w:rsidR="00542672" w:rsidRPr="006423CF" w14:paraId="19D75C77"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hideMark/>
          </w:tcPr>
          <w:p w14:paraId="6AEA2600" w14:textId="77777777" w:rsidR="00542672" w:rsidRPr="00206B0F" w:rsidRDefault="00542672" w:rsidP="00206B0F">
            <w:pPr>
              <w:spacing w:after="0"/>
              <w:contextualSpacing/>
              <w:rPr>
                <w:rFonts w:cs="Arial"/>
                <w:szCs w:val="20"/>
              </w:rPr>
            </w:pPr>
          </w:p>
        </w:tc>
        <w:tc>
          <w:tcPr>
            <w:tcW w:w="0" w:type="dxa"/>
            <w:hideMark/>
          </w:tcPr>
          <w:p w14:paraId="33C0CA88" w14:textId="77777777" w:rsidR="00542672" w:rsidRPr="00206B0F" w:rsidRDefault="00542672" w:rsidP="00206B0F">
            <w:pPr>
              <w:spacing w:after="0"/>
              <w:contextualSpacing/>
              <w:rPr>
                <w:rFonts w:cs="Arial"/>
                <w:szCs w:val="20"/>
              </w:rPr>
            </w:pPr>
            <w:r w:rsidRPr="00206B0F">
              <w:rPr>
                <w:rFonts w:cs="Arial"/>
                <w:szCs w:val="20"/>
              </w:rPr>
              <w:t>Parkes</w:t>
            </w:r>
          </w:p>
        </w:tc>
        <w:tc>
          <w:tcPr>
            <w:tcW w:w="0" w:type="dxa"/>
          </w:tcPr>
          <w:p w14:paraId="0626990E" w14:textId="77777777" w:rsidR="00542672" w:rsidRPr="00206B0F" w:rsidRDefault="00542672" w:rsidP="00206B0F">
            <w:pPr>
              <w:spacing w:after="0"/>
              <w:contextualSpacing/>
              <w:rPr>
                <w:rFonts w:cs="Arial"/>
                <w:szCs w:val="20"/>
              </w:rPr>
            </w:pPr>
            <w:r w:rsidRPr="00206B0F">
              <w:rPr>
                <w:rFonts w:cs="Arial"/>
                <w:szCs w:val="20"/>
              </w:rPr>
              <w:t>n/a</w:t>
            </w:r>
          </w:p>
        </w:tc>
      </w:tr>
      <w:tr w:rsidR="00542672" w:rsidRPr="006423CF" w14:paraId="7EFCFAB6"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7602FA79" w14:textId="77777777" w:rsidR="00542672" w:rsidRPr="00206B0F" w:rsidRDefault="00542672" w:rsidP="00206B0F">
            <w:pPr>
              <w:spacing w:after="0"/>
              <w:contextualSpacing/>
              <w:rPr>
                <w:rFonts w:cs="Arial"/>
                <w:szCs w:val="20"/>
              </w:rPr>
            </w:pPr>
          </w:p>
        </w:tc>
        <w:tc>
          <w:tcPr>
            <w:tcW w:w="0" w:type="dxa"/>
            <w:hideMark/>
          </w:tcPr>
          <w:p w14:paraId="6B4FEB77" w14:textId="77777777" w:rsidR="00542672" w:rsidRPr="00206B0F" w:rsidRDefault="00542672" w:rsidP="00206B0F">
            <w:pPr>
              <w:spacing w:after="0"/>
              <w:contextualSpacing/>
              <w:rPr>
                <w:rFonts w:cs="Arial"/>
                <w:szCs w:val="20"/>
              </w:rPr>
            </w:pPr>
            <w:r w:rsidRPr="00206B0F">
              <w:rPr>
                <w:rFonts w:cs="Arial"/>
                <w:szCs w:val="20"/>
              </w:rPr>
              <w:t>Tamworth</w:t>
            </w:r>
          </w:p>
        </w:tc>
        <w:tc>
          <w:tcPr>
            <w:tcW w:w="0" w:type="dxa"/>
          </w:tcPr>
          <w:p w14:paraId="740929A4" w14:textId="77777777" w:rsidR="00542672" w:rsidRPr="00206B0F" w:rsidRDefault="00542672" w:rsidP="00206B0F">
            <w:pPr>
              <w:spacing w:after="0"/>
              <w:contextualSpacing/>
              <w:rPr>
                <w:rFonts w:cs="Arial"/>
                <w:szCs w:val="20"/>
              </w:rPr>
            </w:pPr>
            <w:r w:rsidRPr="00206B0F">
              <w:rPr>
                <w:rFonts w:cs="Arial"/>
                <w:szCs w:val="20"/>
              </w:rPr>
              <w:t>n/a</w:t>
            </w:r>
          </w:p>
        </w:tc>
      </w:tr>
      <w:tr w:rsidR="00542672" w:rsidRPr="006423CF" w14:paraId="45A7D9CB"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tcPr>
          <w:p w14:paraId="4A2B2655" w14:textId="77777777" w:rsidR="00542672" w:rsidRPr="00206B0F" w:rsidRDefault="00542672" w:rsidP="00206B0F">
            <w:pPr>
              <w:spacing w:after="0"/>
              <w:contextualSpacing/>
              <w:rPr>
                <w:rFonts w:cs="Arial"/>
                <w:szCs w:val="20"/>
              </w:rPr>
            </w:pPr>
          </w:p>
        </w:tc>
        <w:tc>
          <w:tcPr>
            <w:tcW w:w="0" w:type="dxa"/>
          </w:tcPr>
          <w:p w14:paraId="746A5B6D" w14:textId="77777777" w:rsidR="00542672" w:rsidRPr="00206B0F" w:rsidRDefault="00542672" w:rsidP="00206B0F">
            <w:pPr>
              <w:spacing w:after="0"/>
              <w:contextualSpacing/>
              <w:rPr>
                <w:rFonts w:cs="Arial"/>
                <w:szCs w:val="20"/>
              </w:rPr>
            </w:pPr>
            <w:r w:rsidRPr="00206B0F">
              <w:rPr>
                <w:rFonts w:cs="Arial"/>
                <w:szCs w:val="20"/>
              </w:rPr>
              <w:t>Wagga Wagga</w:t>
            </w:r>
          </w:p>
        </w:tc>
        <w:tc>
          <w:tcPr>
            <w:tcW w:w="0" w:type="dxa"/>
          </w:tcPr>
          <w:p w14:paraId="2F42488E" w14:textId="4CB377D5" w:rsidR="00542672" w:rsidRPr="00206B0F" w:rsidRDefault="003B565B" w:rsidP="00206B0F">
            <w:pPr>
              <w:spacing w:after="0"/>
              <w:contextualSpacing/>
              <w:rPr>
                <w:rFonts w:cs="Arial"/>
                <w:szCs w:val="20"/>
              </w:rPr>
            </w:pPr>
            <w:r w:rsidRPr="00206B0F">
              <w:rPr>
                <w:rFonts w:cs="Arial"/>
                <w:szCs w:val="20"/>
              </w:rPr>
              <w:t>S</w:t>
            </w:r>
            <w:r>
              <w:rPr>
                <w:rFonts w:cs="Arial"/>
                <w:szCs w:val="20"/>
              </w:rPr>
              <w:t>ou</w:t>
            </w:r>
            <w:r w:rsidRPr="00206B0F">
              <w:rPr>
                <w:rFonts w:cs="Arial"/>
                <w:szCs w:val="20"/>
              </w:rPr>
              <w:t>th</w:t>
            </w:r>
            <w:r>
              <w:rPr>
                <w:rFonts w:cs="Arial"/>
                <w:szCs w:val="20"/>
              </w:rPr>
              <w:t>er</w:t>
            </w:r>
            <w:r w:rsidRPr="00206B0F">
              <w:rPr>
                <w:rFonts w:cs="Arial"/>
                <w:szCs w:val="20"/>
              </w:rPr>
              <w:t>n NSW/West</w:t>
            </w:r>
            <w:r>
              <w:rPr>
                <w:rFonts w:cs="Arial"/>
                <w:szCs w:val="20"/>
              </w:rPr>
              <w:t>ern</w:t>
            </w:r>
            <w:r w:rsidRPr="00206B0F">
              <w:rPr>
                <w:rFonts w:cs="Arial"/>
                <w:szCs w:val="20"/>
              </w:rPr>
              <w:t xml:space="preserve"> Vic</w:t>
            </w:r>
            <w:r>
              <w:rPr>
                <w:rFonts w:cs="Arial"/>
                <w:szCs w:val="20"/>
              </w:rPr>
              <w:t>toria</w:t>
            </w:r>
          </w:p>
        </w:tc>
      </w:tr>
      <w:tr w:rsidR="00542672" w:rsidRPr="006423CF" w14:paraId="5F118D85"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535B12F1" w14:textId="77777777" w:rsidR="00542672" w:rsidRPr="00206B0F" w:rsidRDefault="00542672" w:rsidP="00206B0F">
            <w:pPr>
              <w:spacing w:after="0"/>
              <w:contextualSpacing/>
              <w:rPr>
                <w:rFonts w:cs="Arial"/>
                <w:szCs w:val="20"/>
              </w:rPr>
            </w:pPr>
          </w:p>
        </w:tc>
        <w:tc>
          <w:tcPr>
            <w:tcW w:w="0" w:type="dxa"/>
            <w:hideMark/>
          </w:tcPr>
          <w:p w14:paraId="67F28B5A" w14:textId="77777777" w:rsidR="00542672" w:rsidRPr="00206B0F" w:rsidRDefault="00542672" w:rsidP="00206B0F">
            <w:pPr>
              <w:spacing w:after="0"/>
              <w:contextualSpacing/>
              <w:rPr>
                <w:rFonts w:cs="Arial"/>
                <w:szCs w:val="20"/>
              </w:rPr>
            </w:pPr>
            <w:r w:rsidRPr="00206B0F">
              <w:rPr>
                <w:rFonts w:cs="Arial"/>
                <w:szCs w:val="20"/>
              </w:rPr>
              <w:t>Young</w:t>
            </w:r>
          </w:p>
        </w:tc>
        <w:tc>
          <w:tcPr>
            <w:tcW w:w="0" w:type="dxa"/>
          </w:tcPr>
          <w:p w14:paraId="5ED8F9CC" w14:textId="77777777" w:rsidR="00542672" w:rsidRPr="00206B0F" w:rsidRDefault="00542672" w:rsidP="00206B0F">
            <w:pPr>
              <w:spacing w:after="0"/>
              <w:contextualSpacing/>
              <w:rPr>
                <w:rFonts w:cs="Arial"/>
                <w:szCs w:val="20"/>
              </w:rPr>
            </w:pPr>
            <w:r w:rsidRPr="00206B0F">
              <w:rPr>
                <w:rFonts w:cs="Arial"/>
                <w:szCs w:val="20"/>
              </w:rPr>
              <w:t>n/a</w:t>
            </w:r>
          </w:p>
        </w:tc>
      </w:tr>
      <w:tr w:rsidR="00542672" w:rsidRPr="00B31BF4" w14:paraId="2AC1E76E"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tcPr>
          <w:p w14:paraId="3F6F116A" w14:textId="77777777" w:rsidR="00542672" w:rsidRPr="00206B0F" w:rsidRDefault="00542672" w:rsidP="00206B0F">
            <w:pPr>
              <w:spacing w:after="0"/>
              <w:contextualSpacing/>
              <w:rPr>
                <w:rFonts w:cs="Arial"/>
                <w:b/>
                <w:bCs/>
                <w:szCs w:val="20"/>
              </w:rPr>
            </w:pPr>
            <w:r w:rsidRPr="00206B0F">
              <w:rPr>
                <w:rFonts w:cs="Arial"/>
                <w:b/>
                <w:bCs/>
                <w:szCs w:val="20"/>
              </w:rPr>
              <w:t>South Australia</w:t>
            </w:r>
          </w:p>
        </w:tc>
        <w:tc>
          <w:tcPr>
            <w:tcW w:w="0" w:type="dxa"/>
          </w:tcPr>
          <w:p w14:paraId="22FBF124" w14:textId="77777777" w:rsidR="00542672" w:rsidRPr="00206B0F" w:rsidRDefault="00542672" w:rsidP="00206B0F">
            <w:pPr>
              <w:pStyle w:val="NormalWeb"/>
              <w:spacing w:before="0" w:beforeAutospacing="0" w:after="0" w:afterAutospacing="0" w:line="240" w:lineRule="atLeast"/>
              <w:contextualSpacing/>
              <w:rPr>
                <w:rFonts w:ascii="Arial" w:hAnsi="Arial" w:cs="Arial"/>
                <w:sz w:val="20"/>
                <w:szCs w:val="20"/>
              </w:rPr>
            </w:pPr>
            <w:r w:rsidRPr="00206B0F">
              <w:rPr>
                <w:rFonts w:ascii="Arial" w:hAnsi="Arial" w:cs="Arial"/>
                <w:sz w:val="20"/>
                <w:szCs w:val="20"/>
              </w:rPr>
              <w:t>Mt Gambier</w:t>
            </w:r>
          </w:p>
        </w:tc>
        <w:tc>
          <w:tcPr>
            <w:tcW w:w="0" w:type="dxa"/>
          </w:tcPr>
          <w:p w14:paraId="365EBF8E" w14:textId="77777777" w:rsidR="00542672" w:rsidRPr="00206B0F" w:rsidRDefault="00542672" w:rsidP="00206B0F">
            <w:pPr>
              <w:pStyle w:val="NormalWeb"/>
              <w:spacing w:before="0" w:beforeAutospacing="0" w:after="0" w:afterAutospacing="0" w:line="240" w:lineRule="atLeast"/>
              <w:contextualSpacing/>
              <w:rPr>
                <w:rFonts w:ascii="Arial" w:hAnsi="Arial" w:cs="Arial"/>
                <w:sz w:val="20"/>
                <w:szCs w:val="20"/>
              </w:rPr>
            </w:pPr>
            <w:r w:rsidRPr="00206B0F">
              <w:rPr>
                <w:rFonts w:ascii="Arial" w:hAnsi="Arial" w:cs="Arial"/>
                <w:sz w:val="20"/>
                <w:szCs w:val="20"/>
              </w:rPr>
              <w:t>n/a</w:t>
            </w:r>
          </w:p>
        </w:tc>
      </w:tr>
      <w:tr w:rsidR="00542672" w:rsidRPr="00B31BF4" w14:paraId="2496CC4E"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val="restart"/>
            <w:hideMark/>
          </w:tcPr>
          <w:p w14:paraId="6BD81DBB" w14:textId="77777777" w:rsidR="00542672" w:rsidRPr="00206B0F" w:rsidRDefault="00542672" w:rsidP="00206B0F">
            <w:pPr>
              <w:spacing w:after="0"/>
              <w:contextualSpacing/>
              <w:rPr>
                <w:rFonts w:cs="Arial"/>
                <w:b/>
                <w:bCs/>
                <w:szCs w:val="20"/>
              </w:rPr>
            </w:pPr>
            <w:r w:rsidRPr="00206B0F">
              <w:rPr>
                <w:rFonts w:cs="Arial"/>
                <w:b/>
                <w:bCs/>
                <w:szCs w:val="20"/>
              </w:rPr>
              <w:t>Victoria</w:t>
            </w:r>
          </w:p>
        </w:tc>
        <w:tc>
          <w:tcPr>
            <w:tcW w:w="0" w:type="dxa"/>
            <w:hideMark/>
          </w:tcPr>
          <w:p w14:paraId="5CF986AB" w14:textId="77777777" w:rsidR="00542672" w:rsidRPr="00206B0F" w:rsidRDefault="00542672" w:rsidP="00206B0F">
            <w:pPr>
              <w:spacing w:after="0"/>
              <w:contextualSpacing/>
              <w:rPr>
                <w:rFonts w:cs="Arial"/>
                <w:szCs w:val="20"/>
              </w:rPr>
            </w:pPr>
            <w:r w:rsidRPr="00206B0F">
              <w:rPr>
                <w:rFonts w:cs="Arial"/>
                <w:szCs w:val="20"/>
              </w:rPr>
              <w:t>Colac</w:t>
            </w:r>
          </w:p>
        </w:tc>
        <w:tc>
          <w:tcPr>
            <w:tcW w:w="0" w:type="dxa"/>
          </w:tcPr>
          <w:p w14:paraId="6BB03226" w14:textId="1E466DF1" w:rsidR="00542672" w:rsidRPr="00206B0F" w:rsidRDefault="003B565B" w:rsidP="00206B0F">
            <w:pPr>
              <w:spacing w:after="0"/>
              <w:contextualSpacing/>
              <w:rPr>
                <w:rFonts w:cs="Arial"/>
                <w:szCs w:val="20"/>
              </w:rPr>
            </w:pPr>
            <w:r w:rsidRPr="00206B0F">
              <w:rPr>
                <w:rFonts w:cs="Arial"/>
                <w:szCs w:val="20"/>
              </w:rPr>
              <w:t>S</w:t>
            </w:r>
            <w:r>
              <w:rPr>
                <w:rFonts w:cs="Arial"/>
                <w:szCs w:val="20"/>
              </w:rPr>
              <w:t>ou</w:t>
            </w:r>
            <w:r w:rsidRPr="00206B0F">
              <w:rPr>
                <w:rFonts w:cs="Arial"/>
                <w:szCs w:val="20"/>
              </w:rPr>
              <w:t>th</w:t>
            </w:r>
            <w:r>
              <w:rPr>
                <w:rFonts w:cs="Arial"/>
                <w:szCs w:val="20"/>
              </w:rPr>
              <w:t>er</w:t>
            </w:r>
            <w:r w:rsidRPr="00206B0F">
              <w:rPr>
                <w:rFonts w:cs="Arial"/>
                <w:szCs w:val="20"/>
              </w:rPr>
              <w:t>n NSW/West</w:t>
            </w:r>
            <w:r>
              <w:rPr>
                <w:rFonts w:cs="Arial"/>
                <w:szCs w:val="20"/>
              </w:rPr>
              <w:t>ern</w:t>
            </w:r>
            <w:r w:rsidRPr="00206B0F">
              <w:rPr>
                <w:rFonts w:cs="Arial"/>
                <w:szCs w:val="20"/>
              </w:rPr>
              <w:t xml:space="preserve"> Vic</w:t>
            </w:r>
            <w:r>
              <w:rPr>
                <w:rFonts w:cs="Arial"/>
                <w:szCs w:val="20"/>
              </w:rPr>
              <w:t>toria</w:t>
            </w:r>
          </w:p>
        </w:tc>
      </w:tr>
      <w:tr w:rsidR="00542672" w:rsidRPr="00B31BF4" w14:paraId="5DD8C1F0"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hideMark/>
          </w:tcPr>
          <w:p w14:paraId="48288EB9" w14:textId="77777777" w:rsidR="00542672" w:rsidRPr="00206B0F" w:rsidRDefault="00542672" w:rsidP="00206B0F">
            <w:pPr>
              <w:spacing w:after="0"/>
              <w:contextualSpacing/>
              <w:rPr>
                <w:rFonts w:cs="Arial"/>
                <w:b/>
                <w:bCs/>
                <w:szCs w:val="20"/>
              </w:rPr>
            </w:pPr>
          </w:p>
        </w:tc>
        <w:tc>
          <w:tcPr>
            <w:tcW w:w="0" w:type="dxa"/>
            <w:hideMark/>
          </w:tcPr>
          <w:p w14:paraId="56F8267F" w14:textId="77777777" w:rsidR="00542672" w:rsidRPr="00206B0F" w:rsidRDefault="00542672" w:rsidP="00206B0F">
            <w:pPr>
              <w:spacing w:after="0"/>
              <w:contextualSpacing/>
              <w:rPr>
                <w:rFonts w:cs="Arial"/>
                <w:szCs w:val="20"/>
              </w:rPr>
            </w:pPr>
            <w:r w:rsidRPr="00206B0F">
              <w:rPr>
                <w:rFonts w:cs="Arial"/>
                <w:szCs w:val="20"/>
              </w:rPr>
              <w:t>Hamilton</w:t>
            </w:r>
          </w:p>
        </w:tc>
        <w:tc>
          <w:tcPr>
            <w:tcW w:w="0" w:type="dxa"/>
          </w:tcPr>
          <w:p w14:paraId="08E9C76F" w14:textId="5688072E" w:rsidR="00542672" w:rsidRPr="00206B0F" w:rsidRDefault="003B565B" w:rsidP="00206B0F">
            <w:pPr>
              <w:spacing w:after="0"/>
              <w:contextualSpacing/>
              <w:rPr>
                <w:rFonts w:cs="Arial"/>
                <w:szCs w:val="20"/>
              </w:rPr>
            </w:pPr>
            <w:r w:rsidRPr="00206B0F">
              <w:rPr>
                <w:rFonts w:cs="Arial"/>
                <w:szCs w:val="20"/>
              </w:rPr>
              <w:t>S</w:t>
            </w:r>
            <w:r>
              <w:rPr>
                <w:rFonts w:cs="Arial"/>
                <w:szCs w:val="20"/>
              </w:rPr>
              <w:t>ou</w:t>
            </w:r>
            <w:r w:rsidRPr="00206B0F">
              <w:rPr>
                <w:rFonts w:cs="Arial"/>
                <w:szCs w:val="20"/>
              </w:rPr>
              <w:t>th</w:t>
            </w:r>
            <w:r>
              <w:rPr>
                <w:rFonts w:cs="Arial"/>
                <w:szCs w:val="20"/>
              </w:rPr>
              <w:t>er</w:t>
            </w:r>
            <w:r w:rsidRPr="00206B0F">
              <w:rPr>
                <w:rFonts w:cs="Arial"/>
                <w:szCs w:val="20"/>
              </w:rPr>
              <w:t>n NSW/West</w:t>
            </w:r>
            <w:r>
              <w:rPr>
                <w:rFonts w:cs="Arial"/>
                <w:szCs w:val="20"/>
              </w:rPr>
              <w:t>ern</w:t>
            </w:r>
            <w:r w:rsidRPr="00206B0F">
              <w:rPr>
                <w:rFonts w:cs="Arial"/>
                <w:szCs w:val="20"/>
              </w:rPr>
              <w:t xml:space="preserve"> Vic</w:t>
            </w:r>
            <w:r>
              <w:rPr>
                <w:rFonts w:cs="Arial"/>
                <w:szCs w:val="20"/>
              </w:rPr>
              <w:t>toria</w:t>
            </w:r>
          </w:p>
        </w:tc>
      </w:tr>
      <w:tr w:rsidR="00542672" w:rsidRPr="00B31BF4" w14:paraId="7F970FB6"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5F950AF2" w14:textId="77777777" w:rsidR="00542672" w:rsidRPr="00206B0F" w:rsidRDefault="00542672" w:rsidP="00206B0F">
            <w:pPr>
              <w:spacing w:after="0"/>
              <w:contextualSpacing/>
              <w:rPr>
                <w:rFonts w:cs="Arial"/>
                <w:b/>
                <w:bCs/>
                <w:szCs w:val="20"/>
              </w:rPr>
            </w:pPr>
          </w:p>
        </w:tc>
        <w:tc>
          <w:tcPr>
            <w:tcW w:w="0" w:type="dxa"/>
            <w:hideMark/>
          </w:tcPr>
          <w:p w14:paraId="73D1E24B" w14:textId="77777777" w:rsidR="00542672" w:rsidRPr="00206B0F" w:rsidRDefault="00542672" w:rsidP="00206B0F">
            <w:pPr>
              <w:spacing w:after="0"/>
              <w:contextualSpacing/>
              <w:rPr>
                <w:rFonts w:cs="Arial"/>
                <w:szCs w:val="20"/>
              </w:rPr>
            </w:pPr>
            <w:r w:rsidRPr="00206B0F">
              <w:rPr>
                <w:rFonts w:cs="Arial"/>
                <w:szCs w:val="20"/>
              </w:rPr>
              <w:t>Horsham</w:t>
            </w:r>
          </w:p>
        </w:tc>
        <w:tc>
          <w:tcPr>
            <w:tcW w:w="0" w:type="dxa"/>
          </w:tcPr>
          <w:p w14:paraId="55E3452A" w14:textId="7A03EF27" w:rsidR="00542672" w:rsidRPr="00206B0F" w:rsidRDefault="003B565B" w:rsidP="00206B0F">
            <w:pPr>
              <w:spacing w:after="0"/>
              <w:contextualSpacing/>
              <w:rPr>
                <w:rFonts w:cs="Arial"/>
                <w:szCs w:val="20"/>
              </w:rPr>
            </w:pPr>
            <w:r w:rsidRPr="00206B0F">
              <w:rPr>
                <w:rFonts w:cs="Arial"/>
                <w:szCs w:val="20"/>
              </w:rPr>
              <w:t>S</w:t>
            </w:r>
            <w:r>
              <w:rPr>
                <w:rFonts w:cs="Arial"/>
                <w:szCs w:val="20"/>
              </w:rPr>
              <w:t>ou</w:t>
            </w:r>
            <w:r w:rsidRPr="00206B0F">
              <w:rPr>
                <w:rFonts w:cs="Arial"/>
                <w:szCs w:val="20"/>
              </w:rPr>
              <w:t>th</w:t>
            </w:r>
            <w:r>
              <w:rPr>
                <w:rFonts w:cs="Arial"/>
                <w:szCs w:val="20"/>
              </w:rPr>
              <w:t>er</w:t>
            </w:r>
            <w:r w:rsidRPr="00206B0F">
              <w:rPr>
                <w:rFonts w:cs="Arial"/>
                <w:szCs w:val="20"/>
              </w:rPr>
              <w:t>n NSW/West</w:t>
            </w:r>
            <w:r>
              <w:rPr>
                <w:rFonts w:cs="Arial"/>
                <w:szCs w:val="20"/>
              </w:rPr>
              <w:t>ern</w:t>
            </w:r>
            <w:r w:rsidRPr="00206B0F">
              <w:rPr>
                <w:rFonts w:cs="Arial"/>
                <w:szCs w:val="20"/>
              </w:rPr>
              <w:t xml:space="preserve"> Vic</w:t>
            </w:r>
            <w:r>
              <w:rPr>
                <w:rFonts w:cs="Arial"/>
                <w:szCs w:val="20"/>
              </w:rPr>
              <w:t>toria</w:t>
            </w:r>
          </w:p>
        </w:tc>
      </w:tr>
      <w:tr w:rsidR="00542672" w:rsidRPr="00B31BF4" w14:paraId="25831609"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hideMark/>
          </w:tcPr>
          <w:p w14:paraId="6142C143" w14:textId="77777777" w:rsidR="00542672" w:rsidRPr="00206B0F" w:rsidRDefault="00542672" w:rsidP="00206B0F">
            <w:pPr>
              <w:spacing w:after="0"/>
              <w:contextualSpacing/>
              <w:rPr>
                <w:rFonts w:cs="Arial"/>
                <w:b/>
                <w:bCs/>
                <w:szCs w:val="20"/>
              </w:rPr>
            </w:pPr>
          </w:p>
        </w:tc>
        <w:tc>
          <w:tcPr>
            <w:tcW w:w="0" w:type="dxa"/>
            <w:hideMark/>
          </w:tcPr>
          <w:p w14:paraId="58FD02D3" w14:textId="77777777" w:rsidR="00542672" w:rsidRPr="00206B0F" w:rsidRDefault="00542672" w:rsidP="00206B0F">
            <w:pPr>
              <w:spacing w:after="0"/>
              <w:contextualSpacing/>
              <w:rPr>
                <w:rFonts w:cs="Arial"/>
                <w:szCs w:val="20"/>
              </w:rPr>
            </w:pPr>
            <w:r w:rsidRPr="00206B0F">
              <w:rPr>
                <w:rFonts w:cs="Arial"/>
                <w:szCs w:val="20"/>
              </w:rPr>
              <w:t>Swan Hill</w:t>
            </w:r>
          </w:p>
        </w:tc>
        <w:tc>
          <w:tcPr>
            <w:tcW w:w="0" w:type="dxa"/>
          </w:tcPr>
          <w:p w14:paraId="7D625089" w14:textId="436A833A" w:rsidR="00542672" w:rsidRPr="00206B0F" w:rsidRDefault="003B565B" w:rsidP="00206B0F">
            <w:pPr>
              <w:spacing w:after="0"/>
              <w:contextualSpacing/>
              <w:rPr>
                <w:rFonts w:cs="Arial"/>
                <w:szCs w:val="20"/>
              </w:rPr>
            </w:pPr>
            <w:r w:rsidRPr="00206B0F">
              <w:rPr>
                <w:rFonts w:cs="Arial"/>
                <w:szCs w:val="20"/>
              </w:rPr>
              <w:t>S</w:t>
            </w:r>
            <w:r>
              <w:rPr>
                <w:rFonts w:cs="Arial"/>
                <w:szCs w:val="20"/>
              </w:rPr>
              <w:t>ou</w:t>
            </w:r>
            <w:r w:rsidRPr="00206B0F">
              <w:rPr>
                <w:rFonts w:cs="Arial"/>
                <w:szCs w:val="20"/>
              </w:rPr>
              <w:t>th</w:t>
            </w:r>
            <w:r>
              <w:rPr>
                <w:rFonts w:cs="Arial"/>
                <w:szCs w:val="20"/>
              </w:rPr>
              <w:t>er</w:t>
            </w:r>
            <w:r w:rsidRPr="00206B0F">
              <w:rPr>
                <w:rFonts w:cs="Arial"/>
                <w:szCs w:val="20"/>
              </w:rPr>
              <w:t>n NSW/West</w:t>
            </w:r>
            <w:r>
              <w:rPr>
                <w:rFonts w:cs="Arial"/>
                <w:szCs w:val="20"/>
              </w:rPr>
              <w:t>ern</w:t>
            </w:r>
            <w:r w:rsidRPr="00206B0F">
              <w:rPr>
                <w:rFonts w:cs="Arial"/>
                <w:szCs w:val="20"/>
              </w:rPr>
              <w:t xml:space="preserve"> Vic</w:t>
            </w:r>
            <w:r>
              <w:rPr>
                <w:rFonts w:cs="Arial"/>
                <w:szCs w:val="20"/>
              </w:rPr>
              <w:t>toria</w:t>
            </w:r>
          </w:p>
        </w:tc>
      </w:tr>
      <w:tr w:rsidR="00542672" w:rsidRPr="00B31BF4" w14:paraId="398754D0"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30F1293E" w14:textId="77777777" w:rsidR="00542672" w:rsidRPr="00206B0F" w:rsidRDefault="00542672" w:rsidP="00206B0F">
            <w:pPr>
              <w:spacing w:after="0"/>
              <w:contextualSpacing/>
              <w:rPr>
                <w:rFonts w:cs="Arial"/>
                <w:b/>
                <w:bCs/>
                <w:szCs w:val="20"/>
              </w:rPr>
            </w:pPr>
          </w:p>
        </w:tc>
        <w:tc>
          <w:tcPr>
            <w:tcW w:w="0" w:type="dxa"/>
            <w:hideMark/>
          </w:tcPr>
          <w:p w14:paraId="2EC7FE6D" w14:textId="77777777" w:rsidR="00542672" w:rsidRPr="00206B0F" w:rsidRDefault="00542672" w:rsidP="00206B0F">
            <w:pPr>
              <w:spacing w:after="0"/>
              <w:contextualSpacing/>
              <w:rPr>
                <w:rFonts w:cs="Arial"/>
                <w:szCs w:val="20"/>
              </w:rPr>
            </w:pPr>
            <w:r w:rsidRPr="00206B0F">
              <w:rPr>
                <w:rFonts w:cs="Arial"/>
                <w:szCs w:val="20"/>
              </w:rPr>
              <w:t>Wangaratta</w:t>
            </w:r>
          </w:p>
        </w:tc>
        <w:tc>
          <w:tcPr>
            <w:tcW w:w="0" w:type="dxa"/>
          </w:tcPr>
          <w:p w14:paraId="49785957" w14:textId="77777777" w:rsidR="00542672" w:rsidRPr="00206B0F" w:rsidRDefault="00542672" w:rsidP="00206B0F">
            <w:pPr>
              <w:spacing w:after="0"/>
              <w:contextualSpacing/>
              <w:rPr>
                <w:rFonts w:cs="Arial"/>
                <w:szCs w:val="20"/>
              </w:rPr>
            </w:pPr>
            <w:r w:rsidRPr="00206B0F">
              <w:rPr>
                <w:rFonts w:cs="Arial"/>
                <w:szCs w:val="20"/>
              </w:rPr>
              <w:t>n/a</w:t>
            </w:r>
          </w:p>
        </w:tc>
      </w:tr>
      <w:tr w:rsidR="00542672" w:rsidRPr="00B31BF4" w14:paraId="4119116E"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val="restart"/>
            <w:hideMark/>
          </w:tcPr>
          <w:p w14:paraId="17CD8AC1" w14:textId="77777777" w:rsidR="00542672" w:rsidRPr="00206B0F" w:rsidRDefault="00542672" w:rsidP="00A02860">
            <w:pPr>
              <w:keepNext/>
              <w:keepLines/>
              <w:spacing w:after="0"/>
              <w:contextualSpacing/>
              <w:rPr>
                <w:rFonts w:cs="Arial"/>
                <w:b/>
                <w:bCs/>
                <w:szCs w:val="20"/>
              </w:rPr>
            </w:pPr>
            <w:r w:rsidRPr="00206B0F">
              <w:rPr>
                <w:rFonts w:cs="Arial"/>
                <w:b/>
                <w:bCs/>
                <w:szCs w:val="20"/>
              </w:rPr>
              <w:lastRenderedPageBreak/>
              <w:t>Western Australia</w:t>
            </w:r>
          </w:p>
        </w:tc>
        <w:tc>
          <w:tcPr>
            <w:tcW w:w="0" w:type="dxa"/>
            <w:hideMark/>
          </w:tcPr>
          <w:p w14:paraId="4350C3C3" w14:textId="77777777" w:rsidR="00542672" w:rsidRPr="00206B0F" w:rsidRDefault="00542672" w:rsidP="00A02860">
            <w:pPr>
              <w:keepNext/>
              <w:keepLines/>
              <w:spacing w:after="0"/>
              <w:contextualSpacing/>
              <w:rPr>
                <w:rFonts w:cs="Arial"/>
                <w:szCs w:val="20"/>
              </w:rPr>
            </w:pPr>
            <w:r w:rsidRPr="00206B0F">
              <w:rPr>
                <w:rFonts w:cs="Arial"/>
                <w:szCs w:val="20"/>
              </w:rPr>
              <w:t>Albany</w:t>
            </w:r>
          </w:p>
        </w:tc>
        <w:tc>
          <w:tcPr>
            <w:tcW w:w="0" w:type="dxa"/>
          </w:tcPr>
          <w:p w14:paraId="0C72EBC8" w14:textId="77777777" w:rsidR="00542672" w:rsidRPr="00206B0F" w:rsidRDefault="00542672" w:rsidP="00A02860">
            <w:pPr>
              <w:keepNext/>
              <w:keepLines/>
              <w:spacing w:after="0"/>
              <w:contextualSpacing/>
              <w:rPr>
                <w:rFonts w:cs="Arial"/>
                <w:szCs w:val="20"/>
              </w:rPr>
            </w:pPr>
            <w:r w:rsidRPr="00206B0F">
              <w:rPr>
                <w:rFonts w:cs="Arial"/>
                <w:szCs w:val="20"/>
              </w:rPr>
              <w:t>n/a</w:t>
            </w:r>
          </w:p>
        </w:tc>
      </w:tr>
      <w:tr w:rsidR="00542672" w:rsidRPr="00B31BF4" w14:paraId="2E775E6B"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79BE81AC" w14:textId="77777777" w:rsidR="00542672" w:rsidRPr="00B31BF4" w:rsidRDefault="00542672" w:rsidP="00A02860">
            <w:pPr>
              <w:keepNext/>
              <w:keepLines/>
              <w:spacing w:after="0"/>
              <w:contextualSpacing/>
              <w:rPr>
                <w:rFonts w:cs="Arial"/>
                <w:color w:val="353D3D"/>
                <w:szCs w:val="20"/>
              </w:rPr>
            </w:pPr>
          </w:p>
        </w:tc>
        <w:tc>
          <w:tcPr>
            <w:tcW w:w="0" w:type="dxa"/>
            <w:hideMark/>
          </w:tcPr>
          <w:p w14:paraId="1C81A616" w14:textId="77777777" w:rsidR="00542672" w:rsidRPr="00206B0F" w:rsidRDefault="00542672" w:rsidP="00A02860">
            <w:pPr>
              <w:keepNext/>
              <w:keepLines/>
              <w:spacing w:after="0"/>
              <w:contextualSpacing/>
              <w:rPr>
                <w:rFonts w:cs="Arial"/>
                <w:szCs w:val="20"/>
              </w:rPr>
            </w:pPr>
            <w:r w:rsidRPr="00206B0F">
              <w:rPr>
                <w:rFonts w:cs="Arial"/>
                <w:szCs w:val="20"/>
              </w:rPr>
              <w:t>Bridgetown</w:t>
            </w:r>
          </w:p>
        </w:tc>
        <w:tc>
          <w:tcPr>
            <w:tcW w:w="0" w:type="dxa"/>
          </w:tcPr>
          <w:p w14:paraId="34CD648C" w14:textId="41CA0650" w:rsidR="00542672" w:rsidRPr="00206B0F" w:rsidRDefault="00542672" w:rsidP="00A02860">
            <w:pPr>
              <w:keepNext/>
              <w:keepLines/>
              <w:spacing w:after="0"/>
              <w:contextualSpacing/>
              <w:rPr>
                <w:rFonts w:cs="Arial"/>
                <w:szCs w:val="20"/>
              </w:rPr>
            </w:pPr>
            <w:r w:rsidRPr="00206B0F">
              <w:rPr>
                <w:rFonts w:cs="Arial"/>
                <w:szCs w:val="20"/>
              </w:rPr>
              <w:t>S</w:t>
            </w:r>
            <w:r w:rsidR="003B565B">
              <w:rPr>
                <w:rFonts w:cs="Arial"/>
                <w:szCs w:val="20"/>
              </w:rPr>
              <w:t xml:space="preserve">outh </w:t>
            </w:r>
            <w:r w:rsidRPr="00206B0F">
              <w:rPr>
                <w:rFonts w:cs="Arial"/>
                <w:szCs w:val="20"/>
              </w:rPr>
              <w:t>W</w:t>
            </w:r>
            <w:r w:rsidR="003B565B">
              <w:rPr>
                <w:rFonts w:cs="Arial"/>
                <w:szCs w:val="20"/>
              </w:rPr>
              <w:t>est</w:t>
            </w:r>
            <w:r w:rsidRPr="00206B0F">
              <w:rPr>
                <w:rFonts w:cs="Arial"/>
                <w:szCs w:val="20"/>
              </w:rPr>
              <w:t xml:space="preserve"> WA</w:t>
            </w:r>
          </w:p>
        </w:tc>
      </w:tr>
      <w:tr w:rsidR="00542672" w:rsidRPr="00B31BF4" w14:paraId="4C915C4E"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hideMark/>
          </w:tcPr>
          <w:p w14:paraId="346DFD66" w14:textId="77777777" w:rsidR="00542672" w:rsidRPr="00B31BF4" w:rsidRDefault="00542672" w:rsidP="00A02860">
            <w:pPr>
              <w:keepNext/>
              <w:keepLines/>
              <w:spacing w:after="0"/>
              <w:contextualSpacing/>
              <w:rPr>
                <w:rFonts w:cs="Arial"/>
                <w:color w:val="353D3D"/>
                <w:szCs w:val="20"/>
              </w:rPr>
            </w:pPr>
          </w:p>
        </w:tc>
        <w:tc>
          <w:tcPr>
            <w:tcW w:w="0" w:type="dxa"/>
            <w:hideMark/>
          </w:tcPr>
          <w:p w14:paraId="7A9EF350" w14:textId="77777777" w:rsidR="00542672" w:rsidRPr="00206B0F" w:rsidRDefault="00542672" w:rsidP="00A02860">
            <w:pPr>
              <w:keepNext/>
              <w:keepLines/>
              <w:spacing w:after="0"/>
              <w:contextualSpacing/>
              <w:rPr>
                <w:rFonts w:cs="Arial"/>
                <w:szCs w:val="20"/>
              </w:rPr>
            </w:pPr>
            <w:r w:rsidRPr="00206B0F">
              <w:rPr>
                <w:rFonts w:cs="Arial"/>
                <w:szCs w:val="20"/>
              </w:rPr>
              <w:t>Esperance</w:t>
            </w:r>
          </w:p>
        </w:tc>
        <w:tc>
          <w:tcPr>
            <w:tcW w:w="0" w:type="dxa"/>
          </w:tcPr>
          <w:p w14:paraId="3EE94C48" w14:textId="58D3AB7B" w:rsidR="00542672" w:rsidRPr="00206B0F" w:rsidRDefault="00AB271F" w:rsidP="00A02860">
            <w:pPr>
              <w:keepNext/>
              <w:keepLines/>
              <w:spacing w:after="0"/>
              <w:contextualSpacing/>
              <w:rPr>
                <w:rFonts w:cs="Arial"/>
                <w:szCs w:val="20"/>
              </w:rPr>
            </w:pPr>
            <w:r>
              <w:rPr>
                <w:rFonts w:cs="Arial"/>
                <w:szCs w:val="20"/>
              </w:rPr>
              <w:t>U</w:t>
            </w:r>
            <w:r w:rsidR="00542672" w:rsidRPr="00206B0F">
              <w:rPr>
                <w:rFonts w:cs="Arial"/>
                <w:szCs w:val="20"/>
              </w:rPr>
              <w:t>ngrouped</w:t>
            </w:r>
          </w:p>
        </w:tc>
      </w:tr>
      <w:tr w:rsidR="00542672" w:rsidRPr="00B31BF4" w14:paraId="5ADA8A10"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7F8F0A67" w14:textId="77777777" w:rsidR="00542672" w:rsidRPr="00B31BF4" w:rsidRDefault="00542672" w:rsidP="00A02860">
            <w:pPr>
              <w:keepNext/>
              <w:keepLines/>
              <w:spacing w:after="0"/>
              <w:contextualSpacing/>
              <w:rPr>
                <w:rFonts w:cs="Arial"/>
                <w:color w:val="353D3D"/>
                <w:szCs w:val="20"/>
              </w:rPr>
            </w:pPr>
          </w:p>
        </w:tc>
        <w:tc>
          <w:tcPr>
            <w:tcW w:w="0" w:type="dxa"/>
            <w:hideMark/>
          </w:tcPr>
          <w:p w14:paraId="2D8F0B1A" w14:textId="77777777" w:rsidR="00542672" w:rsidRPr="00206B0F" w:rsidRDefault="00542672" w:rsidP="00A02860">
            <w:pPr>
              <w:keepNext/>
              <w:keepLines/>
              <w:spacing w:after="0"/>
              <w:contextualSpacing/>
              <w:rPr>
                <w:rFonts w:cs="Arial"/>
                <w:szCs w:val="20"/>
              </w:rPr>
            </w:pPr>
            <w:r w:rsidRPr="00206B0F">
              <w:rPr>
                <w:rFonts w:cs="Arial"/>
                <w:szCs w:val="20"/>
              </w:rPr>
              <w:t>Kalgoorlie</w:t>
            </w:r>
          </w:p>
        </w:tc>
        <w:tc>
          <w:tcPr>
            <w:tcW w:w="0" w:type="dxa"/>
          </w:tcPr>
          <w:p w14:paraId="63A9BDAF" w14:textId="3F271C41" w:rsidR="00542672" w:rsidRPr="00206B0F" w:rsidRDefault="00AB271F" w:rsidP="00A02860">
            <w:pPr>
              <w:keepNext/>
              <w:keepLines/>
              <w:spacing w:after="0"/>
              <w:contextualSpacing/>
              <w:rPr>
                <w:rFonts w:cs="Arial"/>
                <w:szCs w:val="20"/>
              </w:rPr>
            </w:pPr>
            <w:r>
              <w:rPr>
                <w:rFonts w:cs="Arial"/>
                <w:szCs w:val="20"/>
              </w:rPr>
              <w:t>U</w:t>
            </w:r>
            <w:r w:rsidR="00542672" w:rsidRPr="00206B0F">
              <w:rPr>
                <w:rFonts w:cs="Arial"/>
                <w:szCs w:val="20"/>
              </w:rPr>
              <w:t>ngrouped</w:t>
            </w:r>
          </w:p>
        </w:tc>
      </w:tr>
      <w:tr w:rsidR="00542672" w:rsidRPr="00B31BF4" w14:paraId="5A1C1742"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hideMark/>
          </w:tcPr>
          <w:p w14:paraId="0CEF7969" w14:textId="77777777" w:rsidR="00542672" w:rsidRPr="00B31BF4" w:rsidRDefault="00542672" w:rsidP="00A02860">
            <w:pPr>
              <w:keepNext/>
              <w:keepLines/>
              <w:spacing w:after="0"/>
              <w:contextualSpacing/>
              <w:rPr>
                <w:rFonts w:cs="Arial"/>
                <w:color w:val="353D3D"/>
                <w:szCs w:val="20"/>
              </w:rPr>
            </w:pPr>
          </w:p>
        </w:tc>
        <w:tc>
          <w:tcPr>
            <w:tcW w:w="0" w:type="dxa"/>
            <w:hideMark/>
          </w:tcPr>
          <w:p w14:paraId="5A116358" w14:textId="77777777" w:rsidR="00542672" w:rsidRPr="00206B0F" w:rsidRDefault="00542672" w:rsidP="00A02860">
            <w:pPr>
              <w:keepNext/>
              <w:keepLines/>
              <w:spacing w:after="0"/>
              <w:contextualSpacing/>
              <w:rPr>
                <w:rFonts w:cs="Arial"/>
                <w:szCs w:val="20"/>
              </w:rPr>
            </w:pPr>
            <w:r w:rsidRPr="00206B0F">
              <w:rPr>
                <w:rFonts w:cs="Arial"/>
                <w:szCs w:val="20"/>
              </w:rPr>
              <w:t>Katanning</w:t>
            </w:r>
          </w:p>
        </w:tc>
        <w:tc>
          <w:tcPr>
            <w:tcW w:w="0" w:type="dxa"/>
          </w:tcPr>
          <w:p w14:paraId="681D1BA1" w14:textId="77777777" w:rsidR="00542672" w:rsidRPr="00206B0F" w:rsidRDefault="00542672" w:rsidP="00A02860">
            <w:pPr>
              <w:keepNext/>
              <w:keepLines/>
              <w:spacing w:after="0"/>
              <w:contextualSpacing/>
              <w:rPr>
                <w:rFonts w:cs="Arial"/>
                <w:szCs w:val="20"/>
              </w:rPr>
            </w:pPr>
            <w:r w:rsidRPr="00206B0F">
              <w:rPr>
                <w:rFonts w:cs="Arial"/>
                <w:szCs w:val="20"/>
              </w:rPr>
              <w:t>SW WA</w:t>
            </w:r>
          </w:p>
        </w:tc>
      </w:tr>
      <w:tr w:rsidR="00542672" w:rsidRPr="00B31BF4" w14:paraId="61724A06"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02B5203D" w14:textId="77777777" w:rsidR="00542672" w:rsidRPr="00B31BF4" w:rsidRDefault="00542672" w:rsidP="00A02860">
            <w:pPr>
              <w:keepNext/>
              <w:keepLines/>
              <w:spacing w:after="0"/>
              <w:contextualSpacing/>
              <w:rPr>
                <w:rFonts w:cs="Arial"/>
                <w:color w:val="353D3D"/>
                <w:szCs w:val="20"/>
              </w:rPr>
            </w:pPr>
          </w:p>
        </w:tc>
        <w:tc>
          <w:tcPr>
            <w:tcW w:w="0" w:type="dxa"/>
            <w:hideMark/>
          </w:tcPr>
          <w:p w14:paraId="79A26ECB" w14:textId="77777777" w:rsidR="00542672" w:rsidRPr="00206B0F" w:rsidRDefault="00542672" w:rsidP="00A02860">
            <w:pPr>
              <w:keepNext/>
              <w:keepLines/>
              <w:spacing w:after="0"/>
              <w:contextualSpacing/>
              <w:rPr>
                <w:rFonts w:cs="Arial"/>
                <w:szCs w:val="20"/>
              </w:rPr>
            </w:pPr>
            <w:r w:rsidRPr="00206B0F">
              <w:rPr>
                <w:rFonts w:cs="Arial"/>
                <w:szCs w:val="20"/>
              </w:rPr>
              <w:t>Merredin</w:t>
            </w:r>
          </w:p>
        </w:tc>
        <w:tc>
          <w:tcPr>
            <w:tcW w:w="0" w:type="dxa"/>
          </w:tcPr>
          <w:p w14:paraId="67814926" w14:textId="77777777" w:rsidR="00542672" w:rsidRPr="00206B0F" w:rsidRDefault="00542672" w:rsidP="00A02860">
            <w:pPr>
              <w:keepNext/>
              <w:keepLines/>
              <w:spacing w:after="0"/>
              <w:contextualSpacing/>
              <w:rPr>
                <w:rFonts w:cs="Arial"/>
                <w:szCs w:val="20"/>
              </w:rPr>
            </w:pPr>
            <w:r w:rsidRPr="00206B0F">
              <w:rPr>
                <w:rFonts w:cs="Arial"/>
                <w:szCs w:val="20"/>
              </w:rPr>
              <w:t>SW WA</w:t>
            </w:r>
          </w:p>
        </w:tc>
      </w:tr>
      <w:tr w:rsidR="00542672" w:rsidRPr="00B31BF4" w14:paraId="30F9CD5E" w14:textId="77777777" w:rsidTr="00A02860">
        <w:trPr>
          <w:cnfStyle w:val="000000010000" w:firstRow="0" w:lastRow="0" w:firstColumn="0" w:lastColumn="0" w:oddVBand="0" w:evenVBand="0" w:oddHBand="0" w:evenHBand="1" w:firstRowFirstColumn="0" w:firstRowLastColumn="0" w:lastRowFirstColumn="0" w:lastRowLastColumn="0"/>
        </w:trPr>
        <w:tc>
          <w:tcPr>
            <w:tcW w:w="0" w:type="dxa"/>
            <w:vMerge/>
            <w:hideMark/>
          </w:tcPr>
          <w:p w14:paraId="788EB08D" w14:textId="77777777" w:rsidR="00542672" w:rsidRPr="00B31BF4" w:rsidRDefault="00542672" w:rsidP="00206B0F">
            <w:pPr>
              <w:spacing w:after="0"/>
              <w:contextualSpacing/>
              <w:rPr>
                <w:rFonts w:cs="Arial"/>
                <w:color w:val="353D3D"/>
                <w:szCs w:val="20"/>
              </w:rPr>
            </w:pPr>
          </w:p>
        </w:tc>
        <w:tc>
          <w:tcPr>
            <w:tcW w:w="0" w:type="dxa"/>
            <w:hideMark/>
          </w:tcPr>
          <w:p w14:paraId="15181267" w14:textId="77777777" w:rsidR="00542672" w:rsidRPr="00206B0F" w:rsidRDefault="00542672" w:rsidP="00206B0F">
            <w:pPr>
              <w:spacing w:after="0"/>
              <w:contextualSpacing/>
              <w:rPr>
                <w:rFonts w:cs="Arial"/>
                <w:szCs w:val="20"/>
              </w:rPr>
            </w:pPr>
            <w:r w:rsidRPr="00206B0F">
              <w:rPr>
                <w:rFonts w:cs="Arial"/>
                <w:szCs w:val="20"/>
              </w:rPr>
              <w:t>Narrogin</w:t>
            </w:r>
          </w:p>
        </w:tc>
        <w:tc>
          <w:tcPr>
            <w:tcW w:w="0" w:type="dxa"/>
          </w:tcPr>
          <w:p w14:paraId="5786B296" w14:textId="77777777" w:rsidR="00542672" w:rsidRPr="00206B0F" w:rsidRDefault="00542672" w:rsidP="00206B0F">
            <w:pPr>
              <w:spacing w:after="0"/>
              <w:contextualSpacing/>
              <w:rPr>
                <w:rFonts w:cs="Arial"/>
                <w:szCs w:val="20"/>
              </w:rPr>
            </w:pPr>
            <w:r w:rsidRPr="00206B0F">
              <w:rPr>
                <w:rFonts w:cs="Arial"/>
                <w:szCs w:val="20"/>
              </w:rPr>
              <w:t>SW WA</w:t>
            </w:r>
          </w:p>
        </w:tc>
      </w:tr>
      <w:tr w:rsidR="00542672" w:rsidRPr="00B31BF4" w14:paraId="6DC4C763" w14:textId="77777777" w:rsidTr="00A02860">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7A48537B" w14:textId="77777777" w:rsidR="00542672" w:rsidRPr="00B31BF4" w:rsidRDefault="00542672" w:rsidP="00206B0F">
            <w:pPr>
              <w:spacing w:after="0"/>
              <w:contextualSpacing/>
              <w:rPr>
                <w:rFonts w:cs="Arial"/>
                <w:color w:val="353D3D"/>
                <w:szCs w:val="20"/>
              </w:rPr>
            </w:pPr>
          </w:p>
        </w:tc>
        <w:tc>
          <w:tcPr>
            <w:tcW w:w="0" w:type="dxa"/>
            <w:hideMark/>
          </w:tcPr>
          <w:p w14:paraId="43B788B3" w14:textId="77777777" w:rsidR="00542672" w:rsidRPr="00206B0F" w:rsidRDefault="00542672" w:rsidP="00206B0F">
            <w:pPr>
              <w:spacing w:after="0"/>
              <w:contextualSpacing/>
              <w:rPr>
                <w:rFonts w:cs="Arial"/>
                <w:szCs w:val="20"/>
              </w:rPr>
            </w:pPr>
            <w:r w:rsidRPr="00206B0F">
              <w:rPr>
                <w:rFonts w:cs="Arial"/>
                <w:szCs w:val="20"/>
              </w:rPr>
              <w:t>Northam</w:t>
            </w:r>
          </w:p>
        </w:tc>
        <w:tc>
          <w:tcPr>
            <w:tcW w:w="0" w:type="dxa"/>
          </w:tcPr>
          <w:p w14:paraId="73040DF8" w14:textId="77777777" w:rsidR="00542672" w:rsidRPr="00206B0F" w:rsidRDefault="00542672" w:rsidP="00206B0F">
            <w:pPr>
              <w:spacing w:after="0"/>
              <w:contextualSpacing/>
              <w:rPr>
                <w:rFonts w:cs="Arial"/>
                <w:szCs w:val="20"/>
              </w:rPr>
            </w:pPr>
            <w:r w:rsidRPr="00206B0F">
              <w:rPr>
                <w:rFonts w:cs="Arial"/>
                <w:szCs w:val="20"/>
              </w:rPr>
              <w:t>SW WA</w:t>
            </w:r>
          </w:p>
        </w:tc>
      </w:tr>
    </w:tbl>
    <w:p w14:paraId="31220119" w14:textId="77777777" w:rsidR="00E03073" w:rsidRPr="0028473D" w:rsidRDefault="00E03073" w:rsidP="00206B0F">
      <w:pPr>
        <w:pStyle w:val="Paragraphbeforelist"/>
        <w:spacing w:before="120"/>
      </w:pPr>
      <w:r w:rsidRPr="0028473D">
        <w:t xml:space="preserve">Notes: </w:t>
      </w:r>
    </w:p>
    <w:p w14:paraId="0090F7B9" w14:textId="6839170B" w:rsidR="00E03073" w:rsidRDefault="00E03073" w:rsidP="00206B0F">
      <w:pPr>
        <w:pStyle w:val="Bulletlevel1"/>
      </w:pPr>
      <w:r>
        <w:t xml:space="preserve">Interdependency groupings are listed in </w:t>
      </w:r>
      <w:r w:rsidR="00206B0F">
        <w:t>T</w:t>
      </w:r>
      <w:r>
        <w:t xml:space="preserve">able </w:t>
      </w:r>
      <w:r w:rsidR="005A2C0D">
        <w:t>4</w:t>
      </w:r>
      <w:r>
        <w:t xml:space="preserve">. Where </w:t>
      </w:r>
      <w:r w:rsidR="00542672">
        <w:t>ACMA engineering staff have</w:t>
      </w:r>
      <w:r>
        <w:t xml:space="preserve"> accepted, or </w:t>
      </w:r>
      <w:r w:rsidR="00CB678B">
        <w:t>are</w:t>
      </w:r>
      <w:r>
        <w:t xml:space="preserve"> considering, an AM</w:t>
      </w:r>
      <w:r w:rsidR="0062295A">
        <w:t xml:space="preserve"> to </w:t>
      </w:r>
      <w:r>
        <w:t>FM conversion, interdependency no</w:t>
      </w:r>
      <w:r w:rsidR="003B565B">
        <w:t> </w:t>
      </w:r>
      <w:r>
        <w:t>longer needs to be considered so these licence areas are shown as not applicable (n/a).</w:t>
      </w:r>
    </w:p>
    <w:p w14:paraId="547C2D4D" w14:textId="7135EC11" w:rsidR="00E03073" w:rsidRPr="00E82889" w:rsidRDefault="00E03073" w:rsidP="00206B0F">
      <w:pPr>
        <w:pStyle w:val="Bulletlevel1"/>
      </w:pPr>
      <w:bookmarkStart w:id="36" w:name="_Hlk87963856"/>
      <w:r w:rsidRPr="00084AEF">
        <w:t xml:space="preserve">Lithgow </w:t>
      </w:r>
      <w:r>
        <w:t>has a greater than</w:t>
      </w:r>
      <w:r w:rsidRPr="00084AEF">
        <w:t xml:space="preserve"> 30% overlap with </w:t>
      </w:r>
      <w:r>
        <w:t xml:space="preserve">the </w:t>
      </w:r>
      <w:r w:rsidRPr="00084AEF">
        <w:t xml:space="preserve">Katoomba </w:t>
      </w:r>
      <w:r>
        <w:t>licence area but is treated as a non-30% solus market given that the Lithgow AM coverage is poor in the overlap area</w:t>
      </w:r>
      <w:r w:rsidR="003B565B">
        <w:t>. C</w:t>
      </w:r>
      <w:r>
        <w:t>onsequently, the Lithgow licensee has implemented FM repeaters in the overlap area.</w:t>
      </w:r>
      <w:r w:rsidRPr="00E82889">
        <w:t xml:space="preserve"> </w:t>
      </w:r>
    </w:p>
    <w:bookmarkEnd w:id="36"/>
    <w:p w14:paraId="3AE2CC8C" w14:textId="64B46F14" w:rsidR="00E03073" w:rsidRPr="00E82889" w:rsidRDefault="00E03073" w:rsidP="007763A1">
      <w:pPr>
        <w:pStyle w:val="Bulletlevel1"/>
        <w:spacing w:after="240"/>
      </w:pPr>
      <w:r w:rsidRPr="009A42D9">
        <w:t>Mudgee RA1 and Mudgee RA3 have</w:t>
      </w:r>
      <w:r>
        <w:t xml:space="preserve"> been treated as a single solus licence area rather than </w:t>
      </w:r>
      <w:r w:rsidR="00206B0F">
        <w:t xml:space="preserve">2 </w:t>
      </w:r>
      <w:r>
        <w:t>separate solus licence areas with a near 100% overlap.</w:t>
      </w:r>
    </w:p>
    <w:p w14:paraId="73559435" w14:textId="78FA0A0F" w:rsidR="00E03073" w:rsidRPr="00C34500" w:rsidRDefault="00542672" w:rsidP="0087686D">
      <w:pPr>
        <w:pStyle w:val="Tableheading"/>
      </w:pPr>
      <w:r>
        <w:t>S</w:t>
      </w:r>
      <w:r w:rsidR="00E03073" w:rsidRPr="00C34500">
        <w:t xml:space="preserve">olus licence areas with </w:t>
      </w:r>
      <w:r w:rsidR="00E03073">
        <w:t xml:space="preserve">commercial AM </w:t>
      </w:r>
      <w:r>
        <w:t xml:space="preserve">service </w:t>
      </w:r>
      <w:r w:rsidR="00E03073">
        <w:t xml:space="preserve">with </w:t>
      </w:r>
      <w:r w:rsidR="00E03073" w:rsidRPr="00C34500">
        <w:t>greater than 30</w:t>
      </w:r>
      <w:r w:rsidR="00206B0F">
        <w:t>%</w:t>
      </w:r>
      <w:r w:rsidR="00E03073" w:rsidRPr="00C34500">
        <w:t xml:space="preserve"> </w:t>
      </w:r>
      <w:r>
        <w:t xml:space="preserve">population </w:t>
      </w:r>
      <w:r w:rsidR="00E03073" w:rsidRPr="00C34500">
        <w:t>overlap</w:t>
      </w:r>
      <w:r>
        <w:t xml:space="preserve"> </w:t>
      </w:r>
    </w:p>
    <w:tbl>
      <w:tblPr>
        <w:tblStyle w:val="ACMAtablestyle"/>
        <w:tblW w:w="8212" w:type="dxa"/>
        <w:tblLayout w:type="fixed"/>
        <w:tblLook w:val="04A0" w:firstRow="1" w:lastRow="0" w:firstColumn="1" w:lastColumn="0" w:noHBand="0" w:noVBand="1"/>
      </w:tblPr>
      <w:tblGrid>
        <w:gridCol w:w="2053"/>
        <w:gridCol w:w="2053"/>
        <w:gridCol w:w="2053"/>
        <w:gridCol w:w="2053"/>
      </w:tblGrid>
      <w:tr w:rsidR="00E03073" w:rsidRPr="00B31BF4" w14:paraId="20633B62" w14:textId="77777777" w:rsidTr="00246E23">
        <w:trPr>
          <w:cnfStyle w:val="100000000000" w:firstRow="1" w:lastRow="0" w:firstColumn="0" w:lastColumn="0" w:oddVBand="0" w:evenVBand="0" w:oddHBand="0" w:evenHBand="0" w:firstRowFirstColumn="0" w:firstRowLastColumn="0" w:lastRowFirstColumn="0" w:lastRowLastColumn="0"/>
        </w:trPr>
        <w:tc>
          <w:tcPr>
            <w:tcW w:w="0" w:type="dxa"/>
            <w:hideMark/>
          </w:tcPr>
          <w:p w14:paraId="3523A978" w14:textId="77777777" w:rsidR="00E03073" w:rsidRPr="00AA2A17" w:rsidRDefault="00E03073" w:rsidP="00AA2A17">
            <w:pPr>
              <w:spacing w:after="0"/>
              <w:rPr>
                <w:rFonts w:cs="Arial"/>
                <w:b/>
                <w:bCs/>
                <w:szCs w:val="20"/>
              </w:rPr>
            </w:pPr>
            <w:r w:rsidRPr="00AA2A17">
              <w:rPr>
                <w:rFonts w:cs="Arial"/>
                <w:b/>
                <w:bCs/>
                <w:szCs w:val="20"/>
              </w:rPr>
              <w:t>State</w:t>
            </w:r>
          </w:p>
        </w:tc>
        <w:tc>
          <w:tcPr>
            <w:tcW w:w="0" w:type="dxa"/>
            <w:hideMark/>
          </w:tcPr>
          <w:p w14:paraId="34292FF2" w14:textId="77777777" w:rsidR="00E03073" w:rsidRPr="00AA2A17" w:rsidRDefault="00E03073" w:rsidP="00AA2A17">
            <w:pPr>
              <w:spacing w:after="0"/>
              <w:rPr>
                <w:rFonts w:cs="Arial"/>
                <w:b/>
                <w:bCs/>
                <w:szCs w:val="20"/>
              </w:rPr>
            </w:pPr>
            <w:r w:rsidRPr="00AA2A17">
              <w:rPr>
                <w:rFonts w:cs="Arial"/>
                <w:b/>
                <w:bCs/>
                <w:szCs w:val="20"/>
              </w:rPr>
              <w:t>Licence area</w:t>
            </w:r>
          </w:p>
        </w:tc>
        <w:tc>
          <w:tcPr>
            <w:tcW w:w="0" w:type="dxa"/>
          </w:tcPr>
          <w:p w14:paraId="2B21181A" w14:textId="77777777" w:rsidR="00E03073" w:rsidRPr="00AA2A17" w:rsidRDefault="00E03073" w:rsidP="00AA2A17">
            <w:pPr>
              <w:spacing w:after="0"/>
              <w:rPr>
                <w:rFonts w:cs="Arial"/>
                <w:b/>
                <w:bCs/>
                <w:szCs w:val="20"/>
              </w:rPr>
            </w:pPr>
            <w:r w:rsidRPr="00AA2A17">
              <w:rPr>
                <w:rFonts w:cs="Arial"/>
                <w:b/>
                <w:bCs/>
                <w:szCs w:val="20"/>
              </w:rPr>
              <w:t>Interdependencies</w:t>
            </w:r>
          </w:p>
        </w:tc>
        <w:tc>
          <w:tcPr>
            <w:tcW w:w="0" w:type="dxa"/>
          </w:tcPr>
          <w:p w14:paraId="2FA67856" w14:textId="2503FA46" w:rsidR="00E03073" w:rsidRPr="00AA2A17" w:rsidRDefault="00542672" w:rsidP="00AA2A17">
            <w:pPr>
              <w:spacing w:after="0"/>
              <w:rPr>
                <w:rFonts w:cs="Arial"/>
                <w:b/>
                <w:bCs/>
                <w:szCs w:val="20"/>
              </w:rPr>
            </w:pPr>
            <w:r w:rsidRPr="00AA2A17">
              <w:rPr>
                <w:rFonts w:cs="Arial"/>
                <w:b/>
                <w:bCs/>
                <w:szCs w:val="20"/>
              </w:rPr>
              <w:t>Overlap</w:t>
            </w:r>
          </w:p>
        </w:tc>
      </w:tr>
      <w:tr w:rsidR="00E03073" w:rsidRPr="00B31BF4" w14:paraId="740F8089"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val="restart"/>
            <w:hideMark/>
          </w:tcPr>
          <w:p w14:paraId="19E9E4AA" w14:textId="77777777" w:rsidR="00E03073" w:rsidRPr="00AA2A17" w:rsidRDefault="00E03073" w:rsidP="00AA2A17">
            <w:pPr>
              <w:spacing w:after="0"/>
              <w:rPr>
                <w:rFonts w:cs="Arial"/>
                <w:b/>
                <w:bCs/>
                <w:szCs w:val="20"/>
              </w:rPr>
            </w:pPr>
            <w:r w:rsidRPr="00AA2A17">
              <w:rPr>
                <w:rFonts w:cs="Arial"/>
                <w:b/>
                <w:bCs/>
                <w:szCs w:val="20"/>
              </w:rPr>
              <w:t>New South Wales</w:t>
            </w:r>
          </w:p>
        </w:tc>
        <w:tc>
          <w:tcPr>
            <w:tcW w:w="0" w:type="dxa"/>
            <w:hideMark/>
          </w:tcPr>
          <w:p w14:paraId="3CF5FADD" w14:textId="77777777"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Deniliquin</w:t>
            </w:r>
          </w:p>
        </w:tc>
        <w:tc>
          <w:tcPr>
            <w:tcW w:w="0" w:type="dxa"/>
          </w:tcPr>
          <w:p w14:paraId="43A5D776" w14:textId="5548CD96" w:rsidR="00E03073" w:rsidRPr="003B565B" w:rsidRDefault="003B565B" w:rsidP="00AA2A17">
            <w:pPr>
              <w:pStyle w:val="NormalWeb"/>
              <w:spacing w:before="0" w:beforeAutospacing="0" w:after="0" w:afterAutospacing="0"/>
              <w:rPr>
                <w:rFonts w:ascii="Arial" w:hAnsi="Arial" w:cs="Arial"/>
                <w:sz w:val="20"/>
                <w:szCs w:val="20"/>
              </w:rPr>
            </w:pPr>
            <w:r w:rsidRPr="0076080F">
              <w:rPr>
                <w:rFonts w:ascii="Arial" w:hAnsi="Arial" w:cs="Arial"/>
                <w:sz w:val="20"/>
                <w:szCs w:val="20"/>
              </w:rPr>
              <w:t>Southern NSW/Western Victoria</w:t>
            </w:r>
          </w:p>
        </w:tc>
        <w:tc>
          <w:tcPr>
            <w:tcW w:w="0" w:type="dxa"/>
          </w:tcPr>
          <w:p w14:paraId="4C47A847" w14:textId="6503DC9D"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61% overlap with Shepparton</w:t>
            </w:r>
            <w:r w:rsidR="00AA2A17">
              <w:rPr>
                <w:rFonts w:ascii="Arial" w:hAnsi="Arial" w:cs="Arial"/>
                <w:sz w:val="20"/>
                <w:szCs w:val="20"/>
              </w:rPr>
              <w:t>,</w:t>
            </w:r>
            <w:r w:rsidRPr="00AA2A17">
              <w:rPr>
                <w:rFonts w:ascii="Arial" w:hAnsi="Arial" w:cs="Arial"/>
                <w:sz w:val="20"/>
                <w:szCs w:val="20"/>
              </w:rPr>
              <w:t xml:space="preserve"> 30% overlap with Bendigo</w:t>
            </w:r>
          </w:p>
        </w:tc>
      </w:tr>
      <w:tr w:rsidR="00E03073" w:rsidRPr="00B31BF4" w14:paraId="776E3E7D" w14:textId="77777777" w:rsidTr="00246E23">
        <w:trPr>
          <w:cnfStyle w:val="000000010000" w:firstRow="0" w:lastRow="0" w:firstColumn="0" w:lastColumn="0" w:oddVBand="0" w:evenVBand="0" w:oddHBand="0" w:evenHBand="1" w:firstRowFirstColumn="0" w:firstRowLastColumn="0" w:lastRowFirstColumn="0" w:lastRowLastColumn="0"/>
          <w:trHeight w:val="249"/>
        </w:trPr>
        <w:tc>
          <w:tcPr>
            <w:tcW w:w="0" w:type="dxa"/>
            <w:vMerge/>
          </w:tcPr>
          <w:p w14:paraId="11C2F252" w14:textId="77777777" w:rsidR="00E03073" w:rsidRPr="00AA2A17" w:rsidRDefault="00E03073" w:rsidP="00AA2A17">
            <w:pPr>
              <w:spacing w:after="0"/>
              <w:rPr>
                <w:rFonts w:cs="Arial"/>
                <w:b/>
                <w:bCs/>
                <w:szCs w:val="20"/>
              </w:rPr>
            </w:pPr>
          </w:p>
        </w:tc>
        <w:tc>
          <w:tcPr>
            <w:tcW w:w="0" w:type="dxa"/>
          </w:tcPr>
          <w:p w14:paraId="7ED6F2A7" w14:textId="77777777"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Murwillumbah</w:t>
            </w:r>
          </w:p>
        </w:tc>
        <w:tc>
          <w:tcPr>
            <w:tcW w:w="0" w:type="dxa"/>
          </w:tcPr>
          <w:p w14:paraId="1727D9B8" w14:textId="77777777"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Ungrouped</w:t>
            </w:r>
          </w:p>
        </w:tc>
        <w:tc>
          <w:tcPr>
            <w:tcW w:w="0" w:type="dxa"/>
          </w:tcPr>
          <w:p w14:paraId="6ED834CB" w14:textId="059552B2"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66% overlap with Gold Coast</w:t>
            </w:r>
          </w:p>
        </w:tc>
      </w:tr>
      <w:tr w:rsidR="00E03073" w:rsidRPr="00B31BF4" w14:paraId="26D786C9" w14:textId="77777777" w:rsidTr="00246E23">
        <w:trPr>
          <w:cnfStyle w:val="000000100000" w:firstRow="0" w:lastRow="0" w:firstColumn="0" w:lastColumn="0" w:oddVBand="0" w:evenVBand="0" w:oddHBand="1" w:evenHBand="0" w:firstRowFirstColumn="0" w:firstRowLastColumn="0" w:lastRowFirstColumn="0" w:lastRowLastColumn="0"/>
          <w:trHeight w:val="249"/>
        </w:trPr>
        <w:tc>
          <w:tcPr>
            <w:tcW w:w="0" w:type="dxa"/>
            <w:vMerge/>
          </w:tcPr>
          <w:p w14:paraId="5B602D3B" w14:textId="77777777" w:rsidR="00E03073" w:rsidRPr="00AA2A17" w:rsidRDefault="00E03073" w:rsidP="00AA2A17">
            <w:pPr>
              <w:spacing w:after="0"/>
              <w:rPr>
                <w:rFonts w:cs="Arial"/>
                <w:b/>
                <w:bCs/>
                <w:szCs w:val="20"/>
              </w:rPr>
            </w:pPr>
          </w:p>
        </w:tc>
        <w:tc>
          <w:tcPr>
            <w:tcW w:w="0" w:type="dxa"/>
          </w:tcPr>
          <w:p w14:paraId="13B418F6" w14:textId="77777777"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Muswellbrook</w:t>
            </w:r>
          </w:p>
        </w:tc>
        <w:tc>
          <w:tcPr>
            <w:tcW w:w="0" w:type="dxa"/>
          </w:tcPr>
          <w:p w14:paraId="7F2E57C0" w14:textId="77777777"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Hunter</w:t>
            </w:r>
          </w:p>
        </w:tc>
        <w:tc>
          <w:tcPr>
            <w:tcW w:w="0" w:type="dxa"/>
          </w:tcPr>
          <w:p w14:paraId="2FE95E68" w14:textId="1552ABC4"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33% overlap with Newcastle</w:t>
            </w:r>
          </w:p>
        </w:tc>
      </w:tr>
      <w:tr w:rsidR="00E03073" w:rsidRPr="00B31BF4" w14:paraId="36D23D79" w14:textId="77777777" w:rsidTr="00246E23">
        <w:trPr>
          <w:cnfStyle w:val="000000010000" w:firstRow="0" w:lastRow="0" w:firstColumn="0" w:lastColumn="0" w:oddVBand="0" w:evenVBand="0" w:oddHBand="0" w:evenHBand="1" w:firstRowFirstColumn="0" w:firstRowLastColumn="0" w:lastRowFirstColumn="0" w:lastRowLastColumn="0"/>
          <w:trHeight w:val="249"/>
        </w:trPr>
        <w:tc>
          <w:tcPr>
            <w:tcW w:w="0" w:type="dxa"/>
            <w:vMerge w:val="restart"/>
          </w:tcPr>
          <w:p w14:paraId="355AA00B" w14:textId="77777777" w:rsidR="00E03073" w:rsidRPr="00AA2A17" w:rsidRDefault="00E03073" w:rsidP="00AA2A17">
            <w:pPr>
              <w:spacing w:after="0"/>
              <w:rPr>
                <w:rFonts w:cs="Arial"/>
                <w:b/>
                <w:bCs/>
                <w:szCs w:val="20"/>
              </w:rPr>
            </w:pPr>
            <w:r w:rsidRPr="00AA2A17">
              <w:rPr>
                <w:rFonts w:cs="Arial"/>
                <w:b/>
                <w:bCs/>
                <w:szCs w:val="20"/>
              </w:rPr>
              <w:t>Victoria</w:t>
            </w:r>
          </w:p>
        </w:tc>
        <w:tc>
          <w:tcPr>
            <w:tcW w:w="0" w:type="dxa"/>
          </w:tcPr>
          <w:p w14:paraId="70BA835C" w14:textId="682EB809"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Maryborough </w:t>
            </w:r>
          </w:p>
        </w:tc>
        <w:tc>
          <w:tcPr>
            <w:tcW w:w="0" w:type="dxa"/>
          </w:tcPr>
          <w:p w14:paraId="3E4E578F" w14:textId="60336D2B"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Central Vic</w:t>
            </w:r>
            <w:r w:rsidR="003B565B">
              <w:rPr>
                <w:rFonts w:ascii="Arial" w:hAnsi="Arial" w:cs="Arial"/>
                <w:sz w:val="20"/>
                <w:szCs w:val="20"/>
              </w:rPr>
              <w:t>toria</w:t>
            </w:r>
          </w:p>
        </w:tc>
        <w:tc>
          <w:tcPr>
            <w:tcW w:w="0" w:type="dxa"/>
          </w:tcPr>
          <w:p w14:paraId="5E81DB98" w14:textId="3190C474"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98% overlap with Bendigo</w:t>
            </w:r>
          </w:p>
        </w:tc>
      </w:tr>
      <w:tr w:rsidR="00E03073" w:rsidRPr="00B31BF4" w14:paraId="11F03F26" w14:textId="77777777" w:rsidTr="00246E23">
        <w:trPr>
          <w:cnfStyle w:val="000000100000" w:firstRow="0" w:lastRow="0" w:firstColumn="0" w:lastColumn="0" w:oddVBand="0" w:evenVBand="0" w:oddHBand="1" w:evenHBand="0" w:firstRowFirstColumn="0" w:firstRowLastColumn="0" w:lastRowFirstColumn="0" w:lastRowLastColumn="0"/>
        </w:trPr>
        <w:tc>
          <w:tcPr>
            <w:tcW w:w="0" w:type="dxa"/>
            <w:vMerge/>
            <w:hideMark/>
          </w:tcPr>
          <w:p w14:paraId="3A8D09F9" w14:textId="77777777" w:rsidR="00E03073" w:rsidRPr="00AA2A17" w:rsidRDefault="00E03073" w:rsidP="00AA2A17">
            <w:pPr>
              <w:spacing w:after="0"/>
              <w:rPr>
                <w:rFonts w:cs="Arial"/>
                <w:szCs w:val="20"/>
              </w:rPr>
            </w:pPr>
          </w:p>
        </w:tc>
        <w:tc>
          <w:tcPr>
            <w:tcW w:w="0" w:type="dxa"/>
            <w:hideMark/>
          </w:tcPr>
          <w:p w14:paraId="4FC46614" w14:textId="77777777" w:rsidR="00E03073" w:rsidRPr="00AA2A17" w:rsidRDefault="00E03073" w:rsidP="00AA2A17">
            <w:pPr>
              <w:spacing w:after="0"/>
              <w:rPr>
                <w:rFonts w:cs="Arial"/>
                <w:szCs w:val="20"/>
              </w:rPr>
            </w:pPr>
            <w:r w:rsidRPr="00AA2A17">
              <w:rPr>
                <w:rFonts w:cs="Arial"/>
                <w:szCs w:val="20"/>
              </w:rPr>
              <w:t>Sale</w:t>
            </w:r>
          </w:p>
        </w:tc>
        <w:tc>
          <w:tcPr>
            <w:tcW w:w="0" w:type="dxa"/>
          </w:tcPr>
          <w:p w14:paraId="3C8CF830" w14:textId="77777777" w:rsidR="00E03073" w:rsidRPr="00AA2A17" w:rsidRDefault="00E03073"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Gippsland</w:t>
            </w:r>
          </w:p>
        </w:tc>
        <w:tc>
          <w:tcPr>
            <w:tcW w:w="0" w:type="dxa"/>
          </w:tcPr>
          <w:p w14:paraId="071A2AFF" w14:textId="10C7A3AC" w:rsidR="00E03073" w:rsidRPr="00AA2A17" w:rsidRDefault="00E03073" w:rsidP="00AA2A17">
            <w:pPr>
              <w:spacing w:after="0"/>
              <w:rPr>
                <w:rFonts w:cs="Arial"/>
                <w:szCs w:val="20"/>
              </w:rPr>
            </w:pPr>
            <w:r w:rsidRPr="00AA2A17">
              <w:rPr>
                <w:rFonts w:cs="Arial"/>
                <w:szCs w:val="20"/>
              </w:rPr>
              <w:t>42% overlap with Warragul</w:t>
            </w:r>
          </w:p>
        </w:tc>
      </w:tr>
    </w:tbl>
    <w:p w14:paraId="4FF353AB" w14:textId="2E68A8A5" w:rsidR="00E03073" w:rsidRPr="003F375E" w:rsidRDefault="00E03073" w:rsidP="003F375E">
      <w:pPr>
        <w:spacing w:after="120" w:line="240" w:lineRule="auto"/>
        <w:rPr>
          <w:rFonts w:cs="Arial"/>
          <w:color w:val="353D3D"/>
          <w:szCs w:val="20"/>
        </w:rPr>
      </w:pPr>
    </w:p>
    <w:p w14:paraId="07467A18" w14:textId="4400C5E3" w:rsidR="00E03073" w:rsidRPr="00C34500" w:rsidRDefault="00542672" w:rsidP="00F048E3">
      <w:pPr>
        <w:pStyle w:val="Tableheading"/>
        <w:keepLines/>
      </w:pPr>
      <w:r>
        <w:lastRenderedPageBreak/>
        <w:t>C</w:t>
      </w:r>
      <w:r w:rsidR="00E03073" w:rsidRPr="00C34500">
        <w:t>ompetitive regional licence areas</w:t>
      </w:r>
      <w:r w:rsidR="00E03073">
        <w:t xml:space="preserve"> with commercial AM </w:t>
      </w:r>
      <w:r>
        <w:t>service(s)</w:t>
      </w:r>
    </w:p>
    <w:tbl>
      <w:tblPr>
        <w:tblStyle w:val="ACMAtablestyle"/>
        <w:tblW w:w="8212" w:type="dxa"/>
        <w:tblLayout w:type="fixed"/>
        <w:tblLook w:val="04A0" w:firstRow="1" w:lastRow="0" w:firstColumn="1" w:lastColumn="0" w:noHBand="0" w:noVBand="1"/>
      </w:tblPr>
      <w:tblGrid>
        <w:gridCol w:w="2053"/>
        <w:gridCol w:w="2053"/>
        <w:gridCol w:w="2053"/>
        <w:gridCol w:w="2053"/>
      </w:tblGrid>
      <w:tr w:rsidR="00542672" w:rsidRPr="00B31BF4" w14:paraId="45B5B921" w14:textId="77777777" w:rsidTr="00246E23">
        <w:trPr>
          <w:cnfStyle w:val="100000000000" w:firstRow="1" w:lastRow="0" w:firstColumn="0" w:lastColumn="0" w:oddVBand="0" w:evenVBand="0" w:oddHBand="0" w:evenHBand="0" w:firstRowFirstColumn="0" w:firstRowLastColumn="0" w:lastRowFirstColumn="0" w:lastRowLastColumn="0"/>
        </w:trPr>
        <w:tc>
          <w:tcPr>
            <w:tcW w:w="0" w:type="dxa"/>
            <w:hideMark/>
          </w:tcPr>
          <w:p w14:paraId="35C68E50" w14:textId="77777777" w:rsidR="00542672" w:rsidRPr="00AA2A17" w:rsidRDefault="00542672" w:rsidP="00F048E3">
            <w:pPr>
              <w:keepNext/>
              <w:keepLines/>
              <w:spacing w:after="0"/>
              <w:rPr>
                <w:rFonts w:cs="Arial"/>
                <w:b/>
                <w:bCs/>
                <w:szCs w:val="20"/>
              </w:rPr>
            </w:pPr>
            <w:r w:rsidRPr="00AA2A17">
              <w:rPr>
                <w:rFonts w:cs="Arial"/>
                <w:b/>
                <w:bCs/>
                <w:szCs w:val="20"/>
              </w:rPr>
              <w:t>State</w:t>
            </w:r>
          </w:p>
        </w:tc>
        <w:tc>
          <w:tcPr>
            <w:tcW w:w="0" w:type="dxa"/>
            <w:hideMark/>
          </w:tcPr>
          <w:p w14:paraId="1D4E5141" w14:textId="77777777" w:rsidR="00542672" w:rsidRPr="00AA2A17" w:rsidRDefault="00542672" w:rsidP="00F048E3">
            <w:pPr>
              <w:keepNext/>
              <w:keepLines/>
              <w:spacing w:after="0"/>
              <w:rPr>
                <w:rFonts w:cs="Arial"/>
                <w:b/>
                <w:bCs/>
                <w:szCs w:val="20"/>
              </w:rPr>
            </w:pPr>
            <w:r w:rsidRPr="00AA2A17">
              <w:rPr>
                <w:rFonts w:cs="Arial"/>
                <w:b/>
                <w:bCs/>
                <w:szCs w:val="20"/>
              </w:rPr>
              <w:t>Licence area</w:t>
            </w:r>
          </w:p>
        </w:tc>
        <w:tc>
          <w:tcPr>
            <w:tcW w:w="0" w:type="dxa"/>
          </w:tcPr>
          <w:p w14:paraId="608FFB4F" w14:textId="77777777" w:rsidR="00542672" w:rsidRPr="00AA2A17" w:rsidRDefault="00542672" w:rsidP="00F048E3">
            <w:pPr>
              <w:keepNext/>
              <w:keepLines/>
              <w:spacing w:after="0"/>
              <w:rPr>
                <w:rFonts w:cs="Arial"/>
                <w:b/>
                <w:bCs/>
                <w:szCs w:val="20"/>
              </w:rPr>
            </w:pPr>
            <w:r w:rsidRPr="00AA2A17">
              <w:rPr>
                <w:rFonts w:cs="Arial"/>
                <w:b/>
                <w:bCs/>
                <w:szCs w:val="20"/>
              </w:rPr>
              <w:t>Interdependencies</w:t>
            </w:r>
          </w:p>
        </w:tc>
        <w:tc>
          <w:tcPr>
            <w:tcW w:w="0" w:type="dxa"/>
          </w:tcPr>
          <w:p w14:paraId="032F394C" w14:textId="24C2CB2E" w:rsidR="00542672" w:rsidRPr="00AA2A17" w:rsidRDefault="00542672" w:rsidP="00F048E3">
            <w:pPr>
              <w:keepNext/>
              <w:keepLines/>
              <w:spacing w:after="0"/>
              <w:rPr>
                <w:rFonts w:cs="Arial"/>
                <w:b/>
                <w:bCs/>
                <w:szCs w:val="20"/>
              </w:rPr>
            </w:pPr>
            <w:r w:rsidRPr="00AA2A17">
              <w:rPr>
                <w:rFonts w:cs="Arial"/>
                <w:b/>
                <w:bCs/>
                <w:szCs w:val="20"/>
              </w:rPr>
              <w:t xml:space="preserve">No. of commercial AM </w:t>
            </w:r>
            <w:r w:rsidR="00DA46D6" w:rsidRPr="00AA2A17">
              <w:rPr>
                <w:rFonts w:cs="Arial"/>
                <w:b/>
                <w:bCs/>
                <w:szCs w:val="20"/>
              </w:rPr>
              <w:t>transmissions</w:t>
            </w:r>
          </w:p>
        </w:tc>
      </w:tr>
      <w:tr w:rsidR="00542672" w:rsidRPr="00B31BF4" w14:paraId="113F5E37" w14:textId="77777777" w:rsidTr="00246E23">
        <w:trPr>
          <w:cnfStyle w:val="000000100000" w:firstRow="0" w:lastRow="0" w:firstColumn="0" w:lastColumn="0" w:oddVBand="0" w:evenVBand="0" w:oddHBand="1" w:evenHBand="0" w:firstRowFirstColumn="0" w:firstRowLastColumn="0" w:lastRowFirstColumn="0" w:lastRowLastColumn="0"/>
        </w:trPr>
        <w:tc>
          <w:tcPr>
            <w:tcW w:w="0" w:type="dxa"/>
          </w:tcPr>
          <w:p w14:paraId="678BFA62" w14:textId="77777777" w:rsidR="00542672" w:rsidRPr="00AA2A17" w:rsidRDefault="00542672" w:rsidP="00F048E3">
            <w:pPr>
              <w:keepNext/>
              <w:keepLines/>
              <w:spacing w:after="0"/>
              <w:rPr>
                <w:rFonts w:cs="Arial"/>
                <w:b/>
                <w:bCs/>
                <w:szCs w:val="20"/>
              </w:rPr>
            </w:pPr>
            <w:r w:rsidRPr="00AA2A17">
              <w:rPr>
                <w:rFonts w:cs="Arial"/>
                <w:b/>
                <w:bCs/>
                <w:szCs w:val="20"/>
              </w:rPr>
              <w:t>Australian Capital Territory</w:t>
            </w:r>
          </w:p>
        </w:tc>
        <w:tc>
          <w:tcPr>
            <w:tcW w:w="0" w:type="dxa"/>
          </w:tcPr>
          <w:p w14:paraId="001178D1" w14:textId="77777777" w:rsidR="00542672" w:rsidRPr="00AA2A17" w:rsidRDefault="00542672" w:rsidP="00F048E3">
            <w:pPr>
              <w:pStyle w:val="NormalWeb"/>
              <w:keepNext/>
              <w:keepLines/>
              <w:spacing w:before="0" w:beforeAutospacing="0" w:after="0" w:afterAutospacing="0"/>
              <w:rPr>
                <w:rFonts w:ascii="Arial" w:hAnsi="Arial" w:cs="Arial"/>
                <w:sz w:val="20"/>
                <w:szCs w:val="20"/>
              </w:rPr>
            </w:pPr>
            <w:r w:rsidRPr="00AA2A17">
              <w:rPr>
                <w:rFonts w:ascii="Arial" w:hAnsi="Arial" w:cs="Arial"/>
                <w:sz w:val="20"/>
                <w:szCs w:val="20"/>
              </w:rPr>
              <w:t>Canberra</w:t>
            </w:r>
          </w:p>
        </w:tc>
        <w:tc>
          <w:tcPr>
            <w:tcW w:w="0" w:type="dxa"/>
          </w:tcPr>
          <w:p w14:paraId="39549D07" w14:textId="23CF0FD1" w:rsidR="00542672" w:rsidRPr="00AA2A17" w:rsidRDefault="00AB271F" w:rsidP="00F048E3">
            <w:pPr>
              <w:pStyle w:val="NormalWeb"/>
              <w:keepNext/>
              <w:keepLines/>
              <w:spacing w:before="0" w:beforeAutospacing="0" w:after="0" w:afterAutospacing="0"/>
              <w:rPr>
                <w:rFonts w:ascii="Arial" w:hAnsi="Arial" w:cs="Arial"/>
                <w:sz w:val="20"/>
                <w:szCs w:val="20"/>
              </w:rPr>
            </w:pPr>
            <w:r>
              <w:rPr>
                <w:rFonts w:ascii="Arial" w:hAnsi="Arial" w:cs="Arial"/>
                <w:sz w:val="20"/>
                <w:szCs w:val="20"/>
              </w:rPr>
              <w:t>U</w:t>
            </w:r>
            <w:r w:rsidR="00542672" w:rsidRPr="00AA2A17">
              <w:rPr>
                <w:rFonts w:ascii="Arial" w:hAnsi="Arial" w:cs="Arial"/>
                <w:sz w:val="20"/>
                <w:szCs w:val="20"/>
              </w:rPr>
              <w:t>ngrouped</w:t>
            </w:r>
          </w:p>
        </w:tc>
        <w:tc>
          <w:tcPr>
            <w:tcW w:w="0" w:type="dxa"/>
          </w:tcPr>
          <w:p w14:paraId="1CF229EE" w14:textId="77777777" w:rsidR="00542672" w:rsidRPr="00AA2A17" w:rsidRDefault="00542672" w:rsidP="00F048E3">
            <w:pPr>
              <w:pStyle w:val="NormalWeb"/>
              <w:keepNext/>
              <w:keepLines/>
              <w:spacing w:before="0" w:beforeAutospacing="0" w:after="0" w:afterAutospacing="0"/>
              <w:rPr>
                <w:rFonts w:ascii="Arial" w:hAnsi="Arial" w:cs="Arial"/>
                <w:sz w:val="20"/>
                <w:szCs w:val="20"/>
              </w:rPr>
            </w:pPr>
            <w:r w:rsidRPr="00AA2A17">
              <w:rPr>
                <w:rFonts w:ascii="Arial" w:hAnsi="Arial" w:cs="Arial"/>
                <w:sz w:val="20"/>
                <w:szCs w:val="20"/>
              </w:rPr>
              <w:t>2</w:t>
            </w:r>
          </w:p>
        </w:tc>
      </w:tr>
      <w:tr w:rsidR="00542672" w:rsidRPr="003D12A6" w14:paraId="4D074247"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hideMark/>
          </w:tcPr>
          <w:p w14:paraId="470E13C9" w14:textId="77777777" w:rsidR="00542672" w:rsidRPr="00AA2A17" w:rsidRDefault="00542672" w:rsidP="00F048E3">
            <w:pPr>
              <w:keepNext/>
              <w:keepLines/>
              <w:spacing w:after="0"/>
              <w:rPr>
                <w:rFonts w:cs="Arial"/>
                <w:b/>
                <w:bCs/>
                <w:szCs w:val="20"/>
              </w:rPr>
            </w:pPr>
            <w:r w:rsidRPr="00AA2A17">
              <w:rPr>
                <w:rFonts w:cs="Arial"/>
                <w:b/>
                <w:bCs/>
                <w:szCs w:val="20"/>
              </w:rPr>
              <w:t>New South Wales</w:t>
            </w:r>
          </w:p>
        </w:tc>
        <w:tc>
          <w:tcPr>
            <w:tcW w:w="0" w:type="dxa"/>
            <w:hideMark/>
          </w:tcPr>
          <w:p w14:paraId="0219DB84" w14:textId="77777777" w:rsidR="00542672" w:rsidRPr="00AA2A17" w:rsidRDefault="00542672" w:rsidP="00F048E3">
            <w:pPr>
              <w:pStyle w:val="NormalWeb"/>
              <w:keepNext/>
              <w:keepLines/>
              <w:spacing w:before="0" w:beforeAutospacing="0" w:after="0" w:afterAutospacing="0"/>
              <w:rPr>
                <w:rFonts w:ascii="Arial" w:hAnsi="Arial" w:cs="Arial"/>
                <w:sz w:val="20"/>
                <w:szCs w:val="20"/>
              </w:rPr>
            </w:pPr>
            <w:r w:rsidRPr="00AA2A17">
              <w:rPr>
                <w:rFonts w:ascii="Arial" w:hAnsi="Arial" w:cs="Arial"/>
                <w:sz w:val="20"/>
                <w:szCs w:val="20"/>
              </w:rPr>
              <w:t>Albury</w:t>
            </w:r>
          </w:p>
        </w:tc>
        <w:tc>
          <w:tcPr>
            <w:tcW w:w="0" w:type="dxa"/>
          </w:tcPr>
          <w:p w14:paraId="35071418" w14:textId="2FEFE74F" w:rsidR="00542672" w:rsidRPr="00AA2A17" w:rsidRDefault="00542672" w:rsidP="00F048E3">
            <w:pPr>
              <w:pStyle w:val="NormalWeb"/>
              <w:keepNext/>
              <w:keepLines/>
              <w:spacing w:before="0" w:beforeAutospacing="0" w:after="0" w:afterAutospacing="0"/>
              <w:rPr>
                <w:rFonts w:ascii="Arial" w:hAnsi="Arial" w:cs="Arial"/>
                <w:sz w:val="20"/>
                <w:szCs w:val="20"/>
              </w:rPr>
            </w:pPr>
            <w:r w:rsidRPr="00AA2A17">
              <w:rPr>
                <w:rFonts w:ascii="Arial" w:hAnsi="Arial" w:cs="Arial"/>
                <w:sz w:val="20"/>
                <w:szCs w:val="20"/>
              </w:rPr>
              <w:t>Central Vic</w:t>
            </w:r>
            <w:r w:rsidR="003B565B">
              <w:rPr>
                <w:rFonts w:ascii="Arial" w:hAnsi="Arial" w:cs="Arial"/>
                <w:sz w:val="20"/>
                <w:szCs w:val="20"/>
              </w:rPr>
              <w:t>toria</w:t>
            </w:r>
          </w:p>
        </w:tc>
        <w:tc>
          <w:tcPr>
            <w:tcW w:w="0" w:type="dxa"/>
          </w:tcPr>
          <w:p w14:paraId="2A9C6624" w14:textId="77777777" w:rsidR="00542672" w:rsidRPr="00AA2A17" w:rsidRDefault="00542672" w:rsidP="00F048E3">
            <w:pPr>
              <w:pStyle w:val="NormalWeb"/>
              <w:keepNext/>
              <w:keepLines/>
              <w:spacing w:before="0" w:beforeAutospacing="0" w:after="0" w:afterAutospacing="0"/>
              <w:rPr>
                <w:rFonts w:ascii="Arial" w:hAnsi="Arial" w:cs="Arial"/>
                <w:sz w:val="20"/>
                <w:szCs w:val="20"/>
              </w:rPr>
            </w:pPr>
            <w:r w:rsidRPr="00AA2A17">
              <w:rPr>
                <w:rFonts w:ascii="Arial" w:hAnsi="Arial" w:cs="Arial"/>
                <w:sz w:val="20"/>
                <w:szCs w:val="20"/>
              </w:rPr>
              <w:t>1</w:t>
            </w:r>
          </w:p>
        </w:tc>
      </w:tr>
      <w:tr w:rsidR="00542672" w:rsidRPr="003D12A6" w14:paraId="149CE544" w14:textId="77777777" w:rsidTr="00246E23">
        <w:trPr>
          <w:cnfStyle w:val="000000100000" w:firstRow="0" w:lastRow="0" w:firstColumn="0" w:lastColumn="0" w:oddVBand="0" w:evenVBand="0" w:oddHBand="1" w:evenHBand="0" w:firstRowFirstColumn="0" w:firstRowLastColumn="0" w:lastRowFirstColumn="0" w:lastRowLastColumn="0"/>
          <w:trHeight w:val="250"/>
        </w:trPr>
        <w:tc>
          <w:tcPr>
            <w:tcW w:w="0" w:type="dxa"/>
            <w:vMerge/>
          </w:tcPr>
          <w:p w14:paraId="2A867769" w14:textId="77777777" w:rsidR="00542672" w:rsidRPr="00AA2A17" w:rsidRDefault="00542672" w:rsidP="00F048E3">
            <w:pPr>
              <w:keepNext/>
              <w:keepLines/>
              <w:spacing w:after="0"/>
              <w:rPr>
                <w:rFonts w:cs="Arial"/>
                <w:szCs w:val="20"/>
              </w:rPr>
            </w:pPr>
          </w:p>
        </w:tc>
        <w:tc>
          <w:tcPr>
            <w:tcW w:w="0" w:type="dxa"/>
          </w:tcPr>
          <w:p w14:paraId="039FB3EA" w14:textId="77777777" w:rsidR="00542672" w:rsidRPr="00AA2A17" w:rsidRDefault="00542672" w:rsidP="00F048E3">
            <w:pPr>
              <w:pStyle w:val="NormalWeb"/>
              <w:keepNext/>
              <w:keepLines/>
              <w:spacing w:before="0" w:beforeAutospacing="0" w:after="0" w:afterAutospacing="0"/>
              <w:rPr>
                <w:rFonts w:ascii="Arial" w:hAnsi="Arial" w:cs="Arial"/>
                <w:sz w:val="20"/>
                <w:szCs w:val="20"/>
              </w:rPr>
            </w:pPr>
            <w:r w:rsidRPr="00AA2A17">
              <w:rPr>
                <w:rFonts w:ascii="Arial" w:hAnsi="Arial" w:cs="Arial"/>
                <w:sz w:val="20"/>
                <w:szCs w:val="20"/>
              </w:rPr>
              <w:t>Coffs Harbour</w:t>
            </w:r>
          </w:p>
        </w:tc>
        <w:tc>
          <w:tcPr>
            <w:tcW w:w="0" w:type="dxa"/>
          </w:tcPr>
          <w:p w14:paraId="20C5D766" w14:textId="77777777" w:rsidR="00542672" w:rsidRPr="00AA2A17" w:rsidRDefault="00542672" w:rsidP="00F048E3">
            <w:pPr>
              <w:pStyle w:val="NormalWeb"/>
              <w:keepNext/>
              <w:keepLines/>
              <w:spacing w:before="0" w:beforeAutospacing="0" w:after="0" w:afterAutospacing="0"/>
              <w:rPr>
                <w:rFonts w:ascii="Arial" w:hAnsi="Arial" w:cs="Arial"/>
                <w:sz w:val="20"/>
                <w:szCs w:val="20"/>
              </w:rPr>
            </w:pPr>
            <w:r w:rsidRPr="00AA2A17">
              <w:rPr>
                <w:rFonts w:ascii="Arial" w:hAnsi="Arial" w:cs="Arial"/>
                <w:sz w:val="20"/>
                <w:szCs w:val="20"/>
              </w:rPr>
              <w:t>North Coast NSW</w:t>
            </w:r>
          </w:p>
        </w:tc>
        <w:tc>
          <w:tcPr>
            <w:tcW w:w="0" w:type="dxa"/>
          </w:tcPr>
          <w:p w14:paraId="539BA1D9" w14:textId="77777777" w:rsidR="00542672" w:rsidRPr="00AA2A17" w:rsidRDefault="00542672" w:rsidP="00F048E3">
            <w:pPr>
              <w:pStyle w:val="NormalWeb"/>
              <w:keepNext/>
              <w:keepLines/>
              <w:spacing w:before="0" w:beforeAutospacing="0" w:after="0" w:afterAutospacing="0"/>
              <w:rPr>
                <w:rFonts w:ascii="Arial" w:hAnsi="Arial" w:cs="Arial"/>
                <w:sz w:val="20"/>
                <w:szCs w:val="20"/>
              </w:rPr>
            </w:pPr>
            <w:r w:rsidRPr="00AA2A17">
              <w:rPr>
                <w:rFonts w:ascii="Arial" w:hAnsi="Arial" w:cs="Arial"/>
                <w:sz w:val="20"/>
                <w:szCs w:val="20"/>
              </w:rPr>
              <w:t>1</w:t>
            </w:r>
          </w:p>
        </w:tc>
      </w:tr>
      <w:tr w:rsidR="00542672" w:rsidRPr="003D12A6" w14:paraId="5C5C4FD0" w14:textId="77777777" w:rsidTr="00246E23">
        <w:trPr>
          <w:cnfStyle w:val="000000010000" w:firstRow="0" w:lastRow="0" w:firstColumn="0" w:lastColumn="0" w:oddVBand="0" w:evenVBand="0" w:oddHBand="0" w:evenHBand="1" w:firstRowFirstColumn="0" w:firstRowLastColumn="0" w:lastRowFirstColumn="0" w:lastRowLastColumn="0"/>
          <w:trHeight w:val="250"/>
        </w:trPr>
        <w:tc>
          <w:tcPr>
            <w:tcW w:w="0" w:type="dxa"/>
            <w:vMerge/>
          </w:tcPr>
          <w:p w14:paraId="6214169A" w14:textId="77777777" w:rsidR="00542672" w:rsidRPr="00AA2A17" w:rsidRDefault="00542672" w:rsidP="00AA2A17">
            <w:pPr>
              <w:spacing w:after="0"/>
              <w:rPr>
                <w:rFonts w:cs="Arial"/>
                <w:szCs w:val="20"/>
              </w:rPr>
            </w:pPr>
          </w:p>
        </w:tc>
        <w:tc>
          <w:tcPr>
            <w:tcW w:w="0" w:type="dxa"/>
          </w:tcPr>
          <w:p w14:paraId="37B3F4ED"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Dubbo</w:t>
            </w:r>
          </w:p>
        </w:tc>
        <w:tc>
          <w:tcPr>
            <w:tcW w:w="0" w:type="dxa"/>
          </w:tcPr>
          <w:p w14:paraId="0DC7FFEB"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Inland NSW</w:t>
            </w:r>
          </w:p>
        </w:tc>
        <w:tc>
          <w:tcPr>
            <w:tcW w:w="0" w:type="dxa"/>
          </w:tcPr>
          <w:p w14:paraId="51EF1743" w14:textId="7A907ABC"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1 + 1 repeater</w:t>
            </w:r>
          </w:p>
        </w:tc>
      </w:tr>
      <w:tr w:rsidR="00542672" w:rsidRPr="003D12A6" w14:paraId="5B0F3607" w14:textId="77777777" w:rsidTr="00246E23">
        <w:trPr>
          <w:cnfStyle w:val="000000100000" w:firstRow="0" w:lastRow="0" w:firstColumn="0" w:lastColumn="0" w:oddVBand="0" w:evenVBand="0" w:oddHBand="1" w:evenHBand="0" w:firstRowFirstColumn="0" w:firstRowLastColumn="0" w:lastRowFirstColumn="0" w:lastRowLastColumn="0"/>
          <w:trHeight w:val="250"/>
        </w:trPr>
        <w:tc>
          <w:tcPr>
            <w:tcW w:w="0" w:type="dxa"/>
            <w:vMerge/>
          </w:tcPr>
          <w:p w14:paraId="5C6EBCAC" w14:textId="77777777" w:rsidR="00542672" w:rsidRPr="00AA2A17" w:rsidRDefault="00542672" w:rsidP="00AA2A17">
            <w:pPr>
              <w:spacing w:after="0"/>
              <w:rPr>
                <w:rFonts w:cs="Arial"/>
                <w:szCs w:val="20"/>
              </w:rPr>
            </w:pPr>
          </w:p>
        </w:tc>
        <w:tc>
          <w:tcPr>
            <w:tcW w:w="0" w:type="dxa"/>
          </w:tcPr>
          <w:p w14:paraId="1F48F1B8"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Kempsey</w:t>
            </w:r>
          </w:p>
        </w:tc>
        <w:tc>
          <w:tcPr>
            <w:tcW w:w="0" w:type="dxa"/>
          </w:tcPr>
          <w:p w14:paraId="4C6DF483"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North Coast NSW</w:t>
            </w:r>
          </w:p>
        </w:tc>
        <w:tc>
          <w:tcPr>
            <w:tcW w:w="0" w:type="dxa"/>
          </w:tcPr>
          <w:p w14:paraId="051A3FD3"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1</w:t>
            </w:r>
          </w:p>
        </w:tc>
      </w:tr>
      <w:tr w:rsidR="00542672" w:rsidRPr="003D12A6" w14:paraId="1D59B2B2" w14:textId="77777777" w:rsidTr="00246E23">
        <w:trPr>
          <w:cnfStyle w:val="000000010000" w:firstRow="0" w:lastRow="0" w:firstColumn="0" w:lastColumn="0" w:oddVBand="0" w:evenVBand="0" w:oddHBand="0" w:evenHBand="1" w:firstRowFirstColumn="0" w:firstRowLastColumn="0" w:lastRowFirstColumn="0" w:lastRowLastColumn="0"/>
          <w:trHeight w:val="250"/>
        </w:trPr>
        <w:tc>
          <w:tcPr>
            <w:tcW w:w="0" w:type="dxa"/>
            <w:vMerge/>
          </w:tcPr>
          <w:p w14:paraId="7198831B" w14:textId="77777777" w:rsidR="00542672" w:rsidRPr="00AA2A17" w:rsidRDefault="00542672" w:rsidP="00AA2A17">
            <w:pPr>
              <w:spacing w:after="0"/>
              <w:rPr>
                <w:rFonts w:cs="Arial"/>
                <w:szCs w:val="20"/>
              </w:rPr>
            </w:pPr>
          </w:p>
        </w:tc>
        <w:tc>
          <w:tcPr>
            <w:tcW w:w="0" w:type="dxa"/>
          </w:tcPr>
          <w:p w14:paraId="02EA977A"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Newcastle</w:t>
            </w:r>
          </w:p>
        </w:tc>
        <w:tc>
          <w:tcPr>
            <w:tcW w:w="0" w:type="dxa"/>
          </w:tcPr>
          <w:p w14:paraId="7CC1CFC0"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Hunter</w:t>
            </w:r>
          </w:p>
        </w:tc>
        <w:tc>
          <w:tcPr>
            <w:tcW w:w="0" w:type="dxa"/>
          </w:tcPr>
          <w:p w14:paraId="25F40467"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1</w:t>
            </w:r>
          </w:p>
        </w:tc>
      </w:tr>
      <w:tr w:rsidR="00542672" w:rsidRPr="003D12A6" w14:paraId="14384DEA" w14:textId="77777777" w:rsidTr="00246E23">
        <w:trPr>
          <w:cnfStyle w:val="000000100000" w:firstRow="0" w:lastRow="0" w:firstColumn="0" w:lastColumn="0" w:oddVBand="0" w:evenVBand="0" w:oddHBand="1" w:evenHBand="0" w:firstRowFirstColumn="0" w:firstRowLastColumn="0" w:lastRowFirstColumn="0" w:lastRowLastColumn="0"/>
          <w:trHeight w:val="250"/>
        </w:trPr>
        <w:tc>
          <w:tcPr>
            <w:tcW w:w="0" w:type="dxa"/>
            <w:vMerge/>
          </w:tcPr>
          <w:p w14:paraId="152910E3" w14:textId="77777777" w:rsidR="00542672" w:rsidRPr="00AA2A17" w:rsidRDefault="00542672" w:rsidP="00AA2A17">
            <w:pPr>
              <w:spacing w:after="0"/>
              <w:rPr>
                <w:rFonts w:cs="Arial"/>
                <w:szCs w:val="20"/>
              </w:rPr>
            </w:pPr>
          </w:p>
        </w:tc>
        <w:tc>
          <w:tcPr>
            <w:tcW w:w="0" w:type="dxa"/>
          </w:tcPr>
          <w:p w14:paraId="63798D1C"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Orange</w:t>
            </w:r>
          </w:p>
        </w:tc>
        <w:tc>
          <w:tcPr>
            <w:tcW w:w="0" w:type="dxa"/>
          </w:tcPr>
          <w:p w14:paraId="4927514D"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Inland NSW</w:t>
            </w:r>
          </w:p>
        </w:tc>
        <w:tc>
          <w:tcPr>
            <w:tcW w:w="0" w:type="dxa"/>
          </w:tcPr>
          <w:p w14:paraId="74F5C94C"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1</w:t>
            </w:r>
          </w:p>
        </w:tc>
      </w:tr>
      <w:tr w:rsidR="00542672" w:rsidRPr="003D12A6" w14:paraId="02BB3701" w14:textId="77777777" w:rsidTr="00246E23">
        <w:trPr>
          <w:cnfStyle w:val="000000010000" w:firstRow="0" w:lastRow="0" w:firstColumn="0" w:lastColumn="0" w:oddVBand="0" w:evenVBand="0" w:oddHBand="0" w:evenHBand="1" w:firstRowFirstColumn="0" w:firstRowLastColumn="0" w:lastRowFirstColumn="0" w:lastRowLastColumn="0"/>
        </w:trPr>
        <w:tc>
          <w:tcPr>
            <w:tcW w:w="0" w:type="dxa"/>
            <w:vMerge w:val="restart"/>
            <w:hideMark/>
          </w:tcPr>
          <w:p w14:paraId="4F11D3A9" w14:textId="77777777" w:rsidR="00542672" w:rsidRPr="00AA2A17" w:rsidRDefault="00542672" w:rsidP="00AA2A17">
            <w:pPr>
              <w:spacing w:after="0"/>
              <w:rPr>
                <w:rFonts w:cs="Arial"/>
                <w:b/>
                <w:bCs/>
                <w:szCs w:val="20"/>
              </w:rPr>
            </w:pPr>
            <w:r w:rsidRPr="00AA2A17">
              <w:rPr>
                <w:rFonts w:cs="Arial"/>
                <w:b/>
                <w:bCs/>
                <w:szCs w:val="20"/>
              </w:rPr>
              <w:t>Queensland</w:t>
            </w:r>
          </w:p>
        </w:tc>
        <w:tc>
          <w:tcPr>
            <w:tcW w:w="0" w:type="dxa"/>
            <w:hideMark/>
          </w:tcPr>
          <w:p w14:paraId="79F1E96F" w14:textId="77777777" w:rsidR="00542672" w:rsidRPr="00AA2A17" w:rsidRDefault="00542672" w:rsidP="00AA2A17">
            <w:pPr>
              <w:spacing w:after="0"/>
              <w:rPr>
                <w:rFonts w:cs="Arial"/>
                <w:szCs w:val="20"/>
              </w:rPr>
            </w:pPr>
            <w:r w:rsidRPr="00AA2A17">
              <w:rPr>
                <w:rFonts w:cs="Arial"/>
                <w:szCs w:val="20"/>
              </w:rPr>
              <w:t>Atherton</w:t>
            </w:r>
          </w:p>
        </w:tc>
        <w:tc>
          <w:tcPr>
            <w:tcW w:w="0" w:type="dxa"/>
          </w:tcPr>
          <w:p w14:paraId="50954EDE" w14:textId="21898FA0"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Far North Q</w:t>
            </w:r>
            <w:r w:rsidR="003B565B">
              <w:rPr>
                <w:rFonts w:ascii="Arial" w:hAnsi="Arial" w:cs="Arial"/>
                <w:sz w:val="20"/>
                <w:szCs w:val="20"/>
              </w:rPr>
              <w:t>ueensland</w:t>
            </w:r>
          </w:p>
        </w:tc>
        <w:tc>
          <w:tcPr>
            <w:tcW w:w="0" w:type="dxa"/>
          </w:tcPr>
          <w:p w14:paraId="0888CA07" w14:textId="5DF1F02C" w:rsidR="00542672" w:rsidRPr="00AA2A17" w:rsidRDefault="00542672" w:rsidP="00AA2A17">
            <w:pPr>
              <w:spacing w:after="0"/>
              <w:rPr>
                <w:rFonts w:cs="Arial"/>
                <w:szCs w:val="20"/>
              </w:rPr>
            </w:pPr>
            <w:r w:rsidRPr="00AA2A17">
              <w:rPr>
                <w:rFonts w:cs="Arial"/>
                <w:szCs w:val="20"/>
              </w:rPr>
              <w:t>1 + 1 repeater</w:t>
            </w:r>
          </w:p>
        </w:tc>
      </w:tr>
      <w:tr w:rsidR="00542672" w:rsidRPr="003D12A6" w14:paraId="379283F9" w14:textId="77777777" w:rsidTr="00246E23">
        <w:trPr>
          <w:cnfStyle w:val="000000100000" w:firstRow="0" w:lastRow="0" w:firstColumn="0" w:lastColumn="0" w:oddVBand="0" w:evenVBand="0" w:oddHBand="1" w:evenHBand="0" w:firstRowFirstColumn="0" w:firstRowLastColumn="0" w:lastRowFirstColumn="0" w:lastRowLastColumn="0"/>
          <w:trHeight w:val="279"/>
        </w:trPr>
        <w:tc>
          <w:tcPr>
            <w:tcW w:w="0" w:type="dxa"/>
            <w:vMerge/>
          </w:tcPr>
          <w:p w14:paraId="6339C746" w14:textId="77777777" w:rsidR="00542672" w:rsidRPr="00AA2A17" w:rsidRDefault="00542672" w:rsidP="00AA2A17">
            <w:pPr>
              <w:spacing w:after="0"/>
              <w:rPr>
                <w:rFonts w:cs="Arial"/>
                <w:szCs w:val="20"/>
              </w:rPr>
            </w:pPr>
          </w:p>
        </w:tc>
        <w:tc>
          <w:tcPr>
            <w:tcW w:w="0" w:type="dxa"/>
          </w:tcPr>
          <w:p w14:paraId="3A9EC530" w14:textId="77777777" w:rsidR="00542672" w:rsidRPr="00AA2A17" w:rsidRDefault="00542672" w:rsidP="00AA2A17">
            <w:pPr>
              <w:spacing w:after="0"/>
              <w:rPr>
                <w:rFonts w:cs="Arial"/>
                <w:szCs w:val="20"/>
              </w:rPr>
            </w:pPr>
            <w:r w:rsidRPr="00AA2A17">
              <w:rPr>
                <w:rFonts w:cs="Arial"/>
                <w:szCs w:val="20"/>
              </w:rPr>
              <w:t>Bundaberg</w:t>
            </w:r>
          </w:p>
        </w:tc>
        <w:tc>
          <w:tcPr>
            <w:tcW w:w="0" w:type="dxa"/>
          </w:tcPr>
          <w:p w14:paraId="77FF9D79" w14:textId="3557C35E"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Central Q</w:t>
            </w:r>
            <w:r w:rsidR="003B565B">
              <w:rPr>
                <w:rFonts w:ascii="Arial" w:hAnsi="Arial" w:cs="Arial"/>
                <w:sz w:val="20"/>
                <w:szCs w:val="20"/>
              </w:rPr>
              <w:t>ueensland</w:t>
            </w:r>
          </w:p>
        </w:tc>
        <w:tc>
          <w:tcPr>
            <w:tcW w:w="0" w:type="dxa"/>
          </w:tcPr>
          <w:p w14:paraId="24464A06"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082756B1" w14:textId="77777777" w:rsidTr="00246E23">
        <w:trPr>
          <w:cnfStyle w:val="000000010000" w:firstRow="0" w:lastRow="0" w:firstColumn="0" w:lastColumn="0" w:oddVBand="0" w:evenVBand="0" w:oddHBand="0" w:evenHBand="1" w:firstRowFirstColumn="0" w:firstRowLastColumn="0" w:lastRowFirstColumn="0" w:lastRowLastColumn="0"/>
          <w:trHeight w:val="279"/>
        </w:trPr>
        <w:tc>
          <w:tcPr>
            <w:tcW w:w="0" w:type="dxa"/>
            <w:vMerge/>
          </w:tcPr>
          <w:p w14:paraId="0ADDBF5A" w14:textId="77777777" w:rsidR="00542672" w:rsidRPr="00AA2A17" w:rsidRDefault="00542672" w:rsidP="00AA2A17">
            <w:pPr>
              <w:spacing w:after="0"/>
              <w:rPr>
                <w:rFonts w:cs="Arial"/>
                <w:szCs w:val="20"/>
              </w:rPr>
            </w:pPr>
          </w:p>
        </w:tc>
        <w:tc>
          <w:tcPr>
            <w:tcW w:w="0" w:type="dxa"/>
          </w:tcPr>
          <w:p w14:paraId="780295A4" w14:textId="77777777" w:rsidR="00542672" w:rsidRPr="00AA2A17" w:rsidRDefault="00542672" w:rsidP="00AA2A17">
            <w:pPr>
              <w:spacing w:after="0"/>
              <w:rPr>
                <w:rFonts w:cs="Arial"/>
                <w:szCs w:val="20"/>
              </w:rPr>
            </w:pPr>
            <w:r w:rsidRPr="00AA2A17">
              <w:rPr>
                <w:rFonts w:cs="Arial"/>
                <w:szCs w:val="20"/>
              </w:rPr>
              <w:t>Cairns</w:t>
            </w:r>
          </w:p>
        </w:tc>
        <w:tc>
          <w:tcPr>
            <w:tcW w:w="0" w:type="dxa"/>
          </w:tcPr>
          <w:p w14:paraId="1633AC64" w14:textId="02EEC99D"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Far North Q</w:t>
            </w:r>
            <w:r w:rsidR="003B565B">
              <w:rPr>
                <w:rFonts w:ascii="Arial" w:hAnsi="Arial" w:cs="Arial"/>
                <w:sz w:val="20"/>
                <w:szCs w:val="20"/>
              </w:rPr>
              <w:t>ueensland</w:t>
            </w:r>
          </w:p>
        </w:tc>
        <w:tc>
          <w:tcPr>
            <w:tcW w:w="0" w:type="dxa"/>
          </w:tcPr>
          <w:p w14:paraId="7B51B205" w14:textId="47445503" w:rsidR="00542672" w:rsidRPr="00AA2A17" w:rsidRDefault="00542672" w:rsidP="00AA2A17">
            <w:pPr>
              <w:spacing w:after="0"/>
              <w:rPr>
                <w:rFonts w:cs="Arial"/>
                <w:szCs w:val="20"/>
              </w:rPr>
            </w:pPr>
            <w:r w:rsidRPr="00AA2A17">
              <w:rPr>
                <w:rFonts w:cs="Arial"/>
                <w:szCs w:val="20"/>
              </w:rPr>
              <w:t>1 + 1 repeater</w:t>
            </w:r>
          </w:p>
        </w:tc>
      </w:tr>
      <w:tr w:rsidR="00542672" w:rsidRPr="003D12A6" w14:paraId="4BE624CB" w14:textId="77777777" w:rsidTr="00246E23">
        <w:trPr>
          <w:cnfStyle w:val="000000100000" w:firstRow="0" w:lastRow="0" w:firstColumn="0" w:lastColumn="0" w:oddVBand="0" w:evenVBand="0" w:oddHBand="1" w:evenHBand="0" w:firstRowFirstColumn="0" w:firstRowLastColumn="0" w:lastRowFirstColumn="0" w:lastRowLastColumn="0"/>
          <w:trHeight w:val="279"/>
        </w:trPr>
        <w:tc>
          <w:tcPr>
            <w:tcW w:w="0" w:type="dxa"/>
            <w:vMerge/>
          </w:tcPr>
          <w:p w14:paraId="683574ED" w14:textId="77777777" w:rsidR="00542672" w:rsidRPr="00AA2A17" w:rsidRDefault="00542672" w:rsidP="00AA2A17">
            <w:pPr>
              <w:spacing w:after="0"/>
              <w:rPr>
                <w:rFonts w:cs="Arial"/>
                <w:szCs w:val="20"/>
              </w:rPr>
            </w:pPr>
          </w:p>
        </w:tc>
        <w:tc>
          <w:tcPr>
            <w:tcW w:w="0" w:type="dxa"/>
          </w:tcPr>
          <w:p w14:paraId="65D3A3E1" w14:textId="77777777" w:rsidR="00542672" w:rsidRPr="00AA2A17" w:rsidRDefault="00542672" w:rsidP="00AA2A17">
            <w:pPr>
              <w:spacing w:after="0"/>
              <w:rPr>
                <w:rFonts w:cs="Arial"/>
                <w:szCs w:val="20"/>
              </w:rPr>
            </w:pPr>
            <w:r w:rsidRPr="00AA2A17">
              <w:rPr>
                <w:rFonts w:cs="Arial"/>
                <w:szCs w:val="20"/>
              </w:rPr>
              <w:t>Emerald</w:t>
            </w:r>
          </w:p>
        </w:tc>
        <w:tc>
          <w:tcPr>
            <w:tcW w:w="0" w:type="dxa"/>
          </w:tcPr>
          <w:p w14:paraId="0342CB47" w14:textId="1DB9450F"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Central </w:t>
            </w:r>
            <w:r w:rsidR="003B565B" w:rsidRPr="00AA2A17">
              <w:rPr>
                <w:rFonts w:ascii="Arial" w:hAnsi="Arial" w:cs="Arial"/>
                <w:sz w:val="20"/>
                <w:szCs w:val="20"/>
              </w:rPr>
              <w:t>Q</w:t>
            </w:r>
            <w:r w:rsidR="003B565B">
              <w:rPr>
                <w:rFonts w:ascii="Arial" w:hAnsi="Arial" w:cs="Arial"/>
                <w:sz w:val="20"/>
                <w:szCs w:val="20"/>
              </w:rPr>
              <w:t>ueensland</w:t>
            </w:r>
          </w:p>
        </w:tc>
        <w:tc>
          <w:tcPr>
            <w:tcW w:w="0" w:type="dxa"/>
          </w:tcPr>
          <w:p w14:paraId="3FAC3125" w14:textId="5D0A30CD" w:rsidR="00542672" w:rsidRPr="00AA2A17" w:rsidRDefault="00542672" w:rsidP="00AA2A17">
            <w:pPr>
              <w:spacing w:after="0"/>
              <w:rPr>
                <w:rFonts w:cs="Arial"/>
                <w:szCs w:val="20"/>
              </w:rPr>
            </w:pPr>
            <w:r w:rsidRPr="00AA2A17">
              <w:rPr>
                <w:rFonts w:cs="Arial"/>
                <w:szCs w:val="20"/>
              </w:rPr>
              <w:t>1 + 2 repeaters</w:t>
            </w:r>
          </w:p>
        </w:tc>
      </w:tr>
      <w:tr w:rsidR="00542672" w:rsidRPr="003D12A6" w14:paraId="12F9557A" w14:textId="77777777" w:rsidTr="00246E23">
        <w:trPr>
          <w:cnfStyle w:val="000000010000" w:firstRow="0" w:lastRow="0" w:firstColumn="0" w:lastColumn="0" w:oddVBand="0" w:evenVBand="0" w:oddHBand="0" w:evenHBand="1" w:firstRowFirstColumn="0" w:firstRowLastColumn="0" w:lastRowFirstColumn="0" w:lastRowLastColumn="0"/>
          <w:trHeight w:val="279"/>
        </w:trPr>
        <w:tc>
          <w:tcPr>
            <w:tcW w:w="0" w:type="dxa"/>
            <w:vMerge/>
          </w:tcPr>
          <w:p w14:paraId="571E5D1B" w14:textId="77777777" w:rsidR="00542672" w:rsidRPr="00AA2A17" w:rsidRDefault="00542672" w:rsidP="00AA2A17">
            <w:pPr>
              <w:spacing w:after="0"/>
              <w:rPr>
                <w:rFonts w:cs="Arial"/>
                <w:szCs w:val="20"/>
              </w:rPr>
            </w:pPr>
          </w:p>
        </w:tc>
        <w:tc>
          <w:tcPr>
            <w:tcW w:w="0" w:type="dxa"/>
          </w:tcPr>
          <w:p w14:paraId="42E6BB16" w14:textId="77777777" w:rsidR="00542672" w:rsidRPr="00AA2A17" w:rsidRDefault="00542672" w:rsidP="00AA2A17">
            <w:pPr>
              <w:spacing w:after="0"/>
              <w:rPr>
                <w:rFonts w:cs="Arial"/>
                <w:szCs w:val="20"/>
              </w:rPr>
            </w:pPr>
            <w:r w:rsidRPr="00AA2A17">
              <w:rPr>
                <w:rFonts w:cs="Arial"/>
                <w:szCs w:val="20"/>
              </w:rPr>
              <w:t>Gympie</w:t>
            </w:r>
          </w:p>
        </w:tc>
        <w:tc>
          <w:tcPr>
            <w:tcW w:w="0" w:type="dxa"/>
          </w:tcPr>
          <w:p w14:paraId="28A41283" w14:textId="679B0CB1"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Central </w:t>
            </w:r>
            <w:r w:rsidR="003B565B" w:rsidRPr="00AA2A17">
              <w:rPr>
                <w:rFonts w:ascii="Arial" w:hAnsi="Arial" w:cs="Arial"/>
                <w:sz w:val="20"/>
                <w:szCs w:val="20"/>
              </w:rPr>
              <w:t>Q</w:t>
            </w:r>
            <w:r w:rsidR="003B565B">
              <w:rPr>
                <w:rFonts w:ascii="Arial" w:hAnsi="Arial" w:cs="Arial"/>
                <w:sz w:val="20"/>
                <w:szCs w:val="20"/>
              </w:rPr>
              <w:t>ueensland</w:t>
            </w:r>
          </w:p>
        </w:tc>
        <w:tc>
          <w:tcPr>
            <w:tcW w:w="0" w:type="dxa"/>
          </w:tcPr>
          <w:p w14:paraId="3B6E5681"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399B9C44" w14:textId="77777777" w:rsidTr="00246E23">
        <w:trPr>
          <w:cnfStyle w:val="000000100000" w:firstRow="0" w:lastRow="0" w:firstColumn="0" w:lastColumn="0" w:oddVBand="0" w:evenVBand="0" w:oddHBand="1" w:evenHBand="0" w:firstRowFirstColumn="0" w:firstRowLastColumn="0" w:lastRowFirstColumn="0" w:lastRowLastColumn="0"/>
          <w:trHeight w:val="279"/>
        </w:trPr>
        <w:tc>
          <w:tcPr>
            <w:tcW w:w="0" w:type="dxa"/>
            <w:vMerge/>
          </w:tcPr>
          <w:p w14:paraId="0250EF28" w14:textId="77777777" w:rsidR="00542672" w:rsidRPr="00AA2A17" w:rsidRDefault="00542672" w:rsidP="00AA2A17">
            <w:pPr>
              <w:spacing w:after="0"/>
              <w:rPr>
                <w:rFonts w:cs="Arial"/>
                <w:szCs w:val="20"/>
              </w:rPr>
            </w:pPr>
          </w:p>
        </w:tc>
        <w:tc>
          <w:tcPr>
            <w:tcW w:w="0" w:type="dxa"/>
          </w:tcPr>
          <w:p w14:paraId="75F39018" w14:textId="77777777" w:rsidR="00542672" w:rsidRPr="00AA2A17" w:rsidRDefault="00542672" w:rsidP="00AA2A17">
            <w:pPr>
              <w:spacing w:after="0"/>
              <w:rPr>
                <w:rFonts w:cs="Arial"/>
                <w:szCs w:val="20"/>
              </w:rPr>
            </w:pPr>
            <w:r w:rsidRPr="00AA2A17">
              <w:rPr>
                <w:rFonts w:cs="Arial"/>
                <w:szCs w:val="20"/>
              </w:rPr>
              <w:t>Kingaroy</w:t>
            </w:r>
          </w:p>
        </w:tc>
        <w:tc>
          <w:tcPr>
            <w:tcW w:w="0" w:type="dxa"/>
          </w:tcPr>
          <w:p w14:paraId="1BEBDC43" w14:textId="4242D4A4"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Central </w:t>
            </w:r>
            <w:r w:rsidR="003B565B" w:rsidRPr="00AA2A17">
              <w:rPr>
                <w:rFonts w:ascii="Arial" w:hAnsi="Arial" w:cs="Arial"/>
                <w:sz w:val="20"/>
                <w:szCs w:val="20"/>
              </w:rPr>
              <w:t>Q</w:t>
            </w:r>
            <w:r w:rsidR="003B565B">
              <w:rPr>
                <w:rFonts w:ascii="Arial" w:hAnsi="Arial" w:cs="Arial"/>
                <w:sz w:val="20"/>
                <w:szCs w:val="20"/>
              </w:rPr>
              <w:t>ueensland</w:t>
            </w:r>
          </w:p>
        </w:tc>
        <w:tc>
          <w:tcPr>
            <w:tcW w:w="0" w:type="dxa"/>
          </w:tcPr>
          <w:p w14:paraId="08121AD2"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4569BAEF" w14:textId="77777777" w:rsidTr="00246E23">
        <w:trPr>
          <w:cnfStyle w:val="000000010000" w:firstRow="0" w:lastRow="0" w:firstColumn="0" w:lastColumn="0" w:oddVBand="0" w:evenVBand="0" w:oddHBand="0" w:evenHBand="1" w:firstRowFirstColumn="0" w:firstRowLastColumn="0" w:lastRowFirstColumn="0" w:lastRowLastColumn="0"/>
          <w:trHeight w:val="279"/>
        </w:trPr>
        <w:tc>
          <w:tcPr>
            <w:tcW w:w="0" w:type="dxa"/>
            <w:vMerge/>
          </w:tcPr>
          <w:p w14:paraId="21C6BC77" w14:textId="77777777" w:rsidR="00542672" w:rsidRPr="00AA2A17" w:rsidRDefault="00542672" w:rsidP="00AA2A17">
            <w:pPr>
              <w:spacing w:after="0"/>
              <w:rPr>
                <w:rFonts w:cs="Arial"/>
                <w:szCs w:val="20"/>
              </w:rPr>
            </w:pPr>
          </w:p>
        </w:tc>
        <w:tc>
          <w:tcPr>
            <w:tcW w:w="0" w:type="dxa"/>
          </w:tcPr>
          <w:p w14:paraId="6038D9F3" w14:textId="77777777" w:rsidR="00542672" w:rsidRPr="00AA2A17" w:rsidRDefault="00542672" w:rsidP="00AA2A17">
            <w:pPr>
              <w:spacing w:after="0"/>
              <w:rPr>
                <w:rFonts w:cs="Arial"/>
                <w:szCs w:val="20"/>
              </w:rPr>
            </w:pPr>
            <w:r w:rsidRPr="00AA2A17">
              <w:rPr>
                <w:rFonts w:cs="Arial"/>
                <w:szCs w:val="20"/>
              </w:rPr>
              <w:t>Mackay</w:t>
            </w:r>
          </w:p>
        </w:tc>
        <w:tc>
          <w:tcPr>
            <w:tcW w:w="0" w:type="dxa"/>
          </w:tcPr>
          <w:p w14:paraId="000E2C61" w14:textId="18E478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Central </w:t>
            </w:r>
            <w:r w:rsidR="003B565B" w:rsidRPr="00AA2A17">
              <w:rPr>
                <w:rFonts w:ascii="Arial" w:hAnsi="Arial" w:cs="Arial"/>
                <w:sz w:val="20"/>
                <w:szCs w:val="20"/>
              </w:rPr>
              <w:t>Q</w:t>
            </w:r>
            <w:r w:rsidR="003B565B">
              <w:rPr>
                <w:rFonts w:ascii="Arial" w:hAnsi="Arial" w:cs="Arial"/>
                <w:sz w:val="20"/>
                <w:szCs w:val="20"/>
              </w:rPr>
              <w:t>ueensland</w:t>
            </w:r>
          </w:p>
        </w:tc>
        <w:tc>
          <w:tcPr>
            <w:tcW w:w="0" w:type="dxa"/>
          </w:tcPr>
          <w:p w14:paraId="5183B954"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2D202A7D" w14:textId="77777777" w:rsidTr="00246E23">
        <w:trPr>
          <w:cnfStyle w:val="000000100000" w:firstRow="0" w:lastRow="0" w:firstColumn="0" w:lastColumn="0" w:oddVBand="0" w:evenVBand="0" w:oddHBand="1" w:evenHBand="0" w:firstRowFirstColumn="0" w:firstRowLastColumn="0" w:lastRowFirstColumn="0" w:lastRowLastColumn="0"/>
          <w:trHeight w:val="279"/>
        </w:trPr>
        <w:tc>
          <w:tcPr>
            <w:tcW w:w="0" w:type="dxa"/>
            <w:vMerge/>
          </w:tcPr>
          <w:p w14:paraId="0435407D" w14:textId="77777777" w:rsidR="00542672" w:rsidRPr="00AA2A17" w:rsidRDefault="00542672" w:rsidP="00AA2A17">
            <w:pPr>
              <w:spacing w:after="0"/>
              <w:rPr>
                <w:rFonts w:cs="Arial"/>
                <w:szCs w:val="20"/>
              </w:rPr>
            </w:pPr>
          </w:p>
        </w:tc>
        <w:tc>
          <w:tcPr>
            <w:tcW w:w="0" w:type="dxa"/>
          </w:tcPr>
          <w:p w14:paraId="09F7B0D6" w14:textId="60DE2825" w:rsidR="00542672" w:rsidRPr="00AA2A17" w:rsidRDefault="00542672" w:rsidP="00AA2A17">
            <w:pPr>
              <w:spacing w:after="0"/>
              <w:rPr>
                <w:rFonts w:cs="Arial"/>
                <w:szCs w:val="20"/>
              </w:rPr>
            </w:pPr>
            <w:r w:rsidRPr="00AA2A17">
              <w:rPr>
                <w:rFonts w:cs="Arial"/>
                <w:szCs w:val="20"/>
              </w:rPr>
              <w:t xml:space="preserve">Maryborough </w:t>
            </w:r>
          </w:p>
        </w:tc>
        <w:tc>
          <w:tcPr>
            <w:tcW w:w="0" w:type="dxa"/>
          </w:tcPr>
          <w:p w14:paraId="7E47C8C5" w14:textId="0FEE1B64"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Central </w:t>
            </w:r>
            <w:r w:rsidR="003B565B" w:rsidRPr="00AA2A17">
              <w:rPr>
                <w:rFonts w:ascii="Arial" w:hAnsi="Arial" w:cs="Arial"/>
                <w:sz w:val="20"/>
                <w:szCs w:val="20"/>
              </w:rPr>
              <w:t>Q</w:t>
            </w:r>
            <w:r w:rsidR="003B565B">
              <w:rPr>
                <w:rFonts w:ascii="Arial" w:hAnsi="Arial" w:cs="Arial"/>
                <w:sz w:val="20"/>
                <w:szCs w:val="20"/>
              </w:rPr>
              <w:t>ueensland</w:t>
            </w:r>
          </w:p>
        </w:tc>
        <w:tc>
          <w:tcPr>
            <w:tcW w:w="0" w:type="dxa"/>
          </w:tcPr>
          <w:p w14:paraId="277E2362"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704A3606" w14:textId="77777777" w:rsidTr="00246E23">
        <w:trPr>
          <w:cnfStyle w:val="000000010000" w:firstRow="0" w:lastRow="0" w:firstColumn="0" w:lastColumn="0" w:oddVBand="0" w:evenVBand="0" w:oddHBand="0" w:evenHBand="1" w:firstRowFirstColumn="0" w:firstRowLastColumn="0" w:lastRowFirstColumn="0" w:lastRowLastColumn="0"/>
          <w:trHeight w:val="279"/>
        </w:trPr>
        <w:tc>
          <w:tcPr>
            <w:tcW w:w="0" w:type="dxa"/>
            <w:vMerge/>
          </w:tcPr>
          <w:p w14:paraId="460AC69D" w14:textId="77777777" w:rsidR="00542672" w:rsidRPr="00AA2A17" w:rsidRDefault="00542672" w:rsidP="00AA2A17">
            <w:pPr>
              <w:spacing w:after="0"/>
              <w:rPr>
                <w:rFonts w:cs="Arial"/>
                <w:szCs w:val="20"/>
              </w:rPr>
            </w:pPr>
          </w:p>
        </w:tc>
        <w:tc>
          <w:tcPr>
            <w:tcW w:w="0" w:type="dxa"/>
          </w:tcPr>
          <w:p w14:paraId="267260A2" w14:textId="77777777" w:rsidR="00542672" w:rsidRPr="00AA2A17" w:rsidRDefault="00542672" w:rsidP="00AA2A17">
            <w:pPr>
              <w:spacing w:after="0"/>
              <w:rPr>
                <w:rFonts w:cs="Arial"/>
                <w:szCs w:val="20"/>
              </w:rPr>
            </w:pPr>
            <w:r w:rsidRPr="00AA2A17">
              <w:rPr>
                <w:rFonts w:cs="Arial"/>
                <w:szCs w:val="20"/>
              </w:rPr>
              <w:t>Mount Isa</w:t>
            </w:r>
          </w:p>
        </w:tc>
        <w:tc>
          <w:tcPr>
            <w:tcW w:w="0" w:type="dxa"/>
          </w:tcPr>
          <w:p w14:paraId="0CF1FA66" w14:textId="6D145B32" w:rsidR="00542672" w:rsidRPr="00AA2A17" w:rsidRDefault="00AB271F" w:rsidP="00AA2A17">
            <w:pPr>
              <w:pStyle w:val="NormalWeb"/>
              <w:spacing w:before="0" w:beforeAutospacing="0" w:after="0" w:afterAutospacing="0"/>
              <w:rPr>
                <w:rFonts w:ascii="Arial" w:hAnsi="Arial" w:cs="Arial"/>
                <w:sz w:val="20"/>
                <w:szCs w:val="20"/>
              </w:rPr>
            </w:pPr>
            <w:r>
              <w:rPr>
                <w:rFonts w:ascii="Arial" w:hAnsi="Arial" w:cs="Arial"/>
                <w:sz w:val="20"/>
                <w:szCs w:val="20"/>
              </w:rPr>
              <w:t>U</w:t>
            </w:r>
            <w:r w:rsidR="00542672" w:rsidRPr="00AA2A17">
              <w:rPr>
                <w:rFonts w:ascii="Arial" w:hAnsi="Arial" w:cs="Arial"/>
                <w:sz w:val="20"/>
                <w:szCs w:val="20"/>
              </w:rPr>
              <w:t>ngrouped</w:t>
            </w:r>
          </w:p>
        </w:tc>
        <w:tc>
          <w:tcPr>
            <w:tcW w:w="0" w:type="dxa"/>
          </w:tcPr>
          <w:p w14:paraId="744E0607" w14:textId="4116DBC1" w:rsidR="00542672" w:rsidRPr="00AA2A17" w:rsidRDefault="00542672" w:rsidP="00AA2A17">
            <w:pPr>
              <w:spacing w:after="0"/>
              <w:rPr>
                <w:rFonts w:cs="Arial"/>
                <w:szCs w:val="20"/>
              </w:rPr>
            </w:pPr>
            <w:r w:rsidRPr="00AA2A17">
              <w:rPr>
                <w:rFonts w:cs="Arial"/>
                <w:szCs w:val="20"/>
              </w:rPr>
              <w:t>1 + 1 repeater</w:t>
            </w:r>
          </w:p>
        </w:tc>
      </w:tr>
      <w:tr w:rsidR="00542672" w:rsidRPr="003D12A6" w14:paraId="688E8289" w14:textId="77777777" w:rsidTr="00246E23">
        <w:trPr>
          <w:cnfStyle w:val="000000100000" w:firstRow="0" w:lastRow="0" w:firstColumn="0" w:lastColumn="0" w:oddVBand="0" w:evenVBand="0" w:oddHBand="1" w:evenHBand="0" w:firstRowFirstColumn="0" w:firstRowLastColumn="0" w:lastRowFirstColumn="0" w:lastRowLastColumn="0"/>
          <w:trHeight w:val="279"/>
        </w:trPr>
        <w:tc>
          <w:tcPr>
            <w:tcW w:w="0" w:type="dxa"/>
            <w:vMerge/>
          </w:tcPr>
          <w:p w14:paraId="6A076B34" w14:textId="77777777" w:rsidR="00542672" w:rsidRPr="00AA2A17" w:rsidRDefault="00542672" w:rsidP="00AA2A17">
            <w:pPr>
              <w:spacing w:after="0"/>
              <w:rPr>
                <w:rFonts w:cs="Arial"/>
                <w:szCs w:val="20"/>
              </w:rPr>
            </w:pPr>
          </w:p>
        </w:tc>
        <w:tc>
          <w:tcPr>
            <w:tcW w:w="0" w:type="dxa"/>
          </w:tcPr>
          <w:p w14:paraId="39A8A0CD" w14:textId="77777777" w:rsidR="00542672" w:rsidRPr="00AA2A17" w:rsidRDefault="00542672" w:rsidP="00AA2A17">
            <w:pPr>
              <w:spacing w:after="0"/>
              <w:rPr>
                <w:rFonts w:cs="Arial"/>
                <w:szCs w:val="20"/>
              </w:rPr>
            </w:pPr>
            <w:r w:rsidRPr="00AA2A17">
              <w:rPr>
                <w:rFonts w:cs="Arial"/>
                <w:szCs w:val="20"/>
              </w:rPr>
              <w:t>Rockhampton</w:t>
            </w:r>
          </w:p>
        </w:tc>
        <w:tc>
          <w:tcPr>
            <w:tcW w:w="0" w:type="dxa"/>
          </w:tcPr>
          <w:p w14:paraId="152DBC6E" w14:textId="3C9D7A9C"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Central </w:t>
            </w:r>
            <w:r w:rsidR="003B565B" w:rsidRPr="00AA2A17">
              <w:rPr>
                <w:rFonts w:ascii="Arial" w:hAnsi="Arial" w:cs="Arial"/>
                <w:sz w:val="20"/>
                <w:szCs w:val="20"/>
              </w:rPr>
              <w:t>Q</w:t>
            </w:r>
            <w:r w:rsidR="003B565B">
              <w:rPr>
                <w:rFonts w:ascii="Arial" w:hAnsi="Arial" w:cs="Arial"/>
                <w:sz w:val="20"/>
                <w:szCs w:val="20"/>
              </w:rPr>
              <w:t>ueensland</w:t>
            </w:r>
          </w:p>
        </w:tc>
        <w:tc>
          <w:tcPr>
            <w:tcW w:w="0" w:type="dxa"/>
          </w:tcPr>
          <w:p w14:paraId="742C74EC" w14:textId="7EB7677D" w:rsidR="00542672" w:rsidRPr="00AA2A17" w:rsidRDefault="00542672" w:rsidP="00AA2A17">
            <w:pPr>
              <w:spacing w:after="0"/>
              <w:rPr>
                <w:rFonts w:cs="Arial"/>
                <w:szCs w:val="20"/>
              </w:rPr>
            </w:pPr>
            <w:r w:rsidRPr="00AA2A17">
              <w:rPr>
                <w:rFonts w:cs="Arial"/>
                <w:szCs w:val="20"/>
              </w:rPr>
              <w:t>2 + 2 repeaters</w:t>
            </w:r>
          </w:p>
        </w:tc>
      </w:tr>
      <w:tr w:rsidR="00542672" w:rsidRPr="003D12A6" w14:paraId="0E0CFCD4" w14:textId="77777777" w:rsidTr="00246E23">
        <w:trPr>
          <w:cnfStyle w:val="000000010000" w:firstRow="0" w:lastRow="0" w:firstColumn="0" w:lastColumn="0" w:oddVBand="0" w:evenVBand="0" w:oddHBand="0" w:evenHBand="1" w:firstRowFirstColumn="0" w:firstRowLastColumn="0" w:lastRowFirstColumn="0" w:lastRowLastColumn="0"/>
          <w:trHeight w:val="279"/>
        </w:trPr>
        <w:tc>
          <w:tcPr>
            <w:tcW w:w="0" w:type="dxa"/>
            <w:vMerge/>
          </w:tcPr>
          <w:p w14:paraId="3E32A4E6" w14:textId="77777777" w:rsidR="00542672" w:rsidRPr="00AA2A17" w:rsidRDefault="00542672" w:rsidP="00AA2A17">
            <w:pPr>
              <w:spacing w:after="0"/>
              <w:rPr>
                <w:rFonts w:cs="Arial"/>
                <w:szCs w:val="20"/>
              </w:rPr>
            </w:pPr>
          </w:p>
        </w:tc>
        <w:tc>
          <w:tcPr>
            <w:tcW w:w="0" w:type="dxa"/>
          </w:tcPr>
          <w:p w14:paraId="37ECF14F" w14:textId="77777777" w:rsidR="00542672" w:rsidRPr="00AA2A17" w:rsidRDefault="00542672" w:rsidP="00AA2A17">
            <w:pPr>
              <w:spacing w:after="0"/>
              <w:rPr>
                <w:rFonts w:cs="Arial"/>
                <w:szCs w:val="20"/>
              </w:rPr>
            </w:pPr>
            <w:r w:rsidRPr="00AA2A17">
              <w:rPr>
                <w:rFonts w:cs="Arial"/>
                <w:szCs w:val="20"/>
              </w:rPr>
              <w:t>Roma</w:t>
            </w:r>
          </w:p>
        </w:tc>
        <w:tc>
          <w:tcPr>
            <w:tcW w:w="0" w:type="dxa"/>
          </w:tcPr>
          <w:p w14:paraId="17F230CE" w14:textId="00757DC1"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Central </w:t>
            </w:r>
            <w:r w:rsidR="003B565B" w:rsidRPr="00AA2A17">
              <w:rPr>
                <w:rFonts w:ascii="Arial" w:hAnsi="Arial" w:cs="Arial"/>
                <w:sz w:val="20"/>
                <w:szCs w:val="20"/>
              </w:rPr>
              <w:t>Q</w:t>
            </w:r>
            <w:r w:rsidR="003B565B">
              <w:rPr>
                <w:rFonts w:ascii="Arial" w:hAnsi="Arial" w:cs="Arial"/>
                <w:sz w:val="20"/>
                <w:szCs w:val="20"/>
              </w:rPr>
              <w:t>ueensland</w:t>
            </w:r>
          </w:p>
        </w:tc>
        <w:tc>
          <w:tcPr>
            <w:tcW w:w="0" w:type="dxa"/>
          </w:tcPr>
          <w:p w14:paraId="5BA96ED0"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6A68883D" w14:textId="77777777" w:rsidTr="00246E23">
        <w:trPr>
          <w:cnfStyle w:val="000000100000" w:firstRow="0" w:lastRow="0" w:firstColumn="0" w:lastColumn="0" w:oddVBand="0" w:evenVBand="0" w:oddHBand="1" w:evenHBand="0" w:firstRowFirstColumn="0" w:firstRowLastColumn="0" w:lastRowFirstColumn="0" w:lastRowLastColumn="0"/>
          <w:trHeight w:val="279"/>
        </w:trPr>
        <w:tc>
          <w:tcPr>
            <w:tcW w:w="0" w:type="dxa"/>
            <w:vMerge/>
          </w:tcPr>
          <w:p w14:paraId="234C0DA2" w14:textId="77777777" w:rsidR="00542672" w:rsidRPr="00AA2A17" w:rsidRDefault="00542672" w:rsidP="00AA2A17">
            <w:pPr>
              <w:spacing w:after="0"/>
              <w:rPr>
                <w:rFonts w:cs="Arial"/>
                <w:szCs w:val="20"/>
              </w:rPr>
            </w:pPr>
          </w:p>
        </w:tc>
        <w:tc>
          <w:tcPr>
            <w:tcW w:w="0" w:type="dxa"/>
          </w:tcPr>
          <w:p w14:paraId="37B3D7AB" w14:textId="426A6517" w:rsidR="00542672" w:rsidRPr="00AA2A17" w:rsidRDefault="00542672" w:rsidP="00AA2A17">
            <w:pPr>
              <w:spacing w:after="0"/>
              <w:rPr>
                <w:rFonts w:cs="Arial"/>
                <w:szCs w:val="20"/>
              </w:rPr>
            </w:pPr>
            <w:r w:rsidRPr="00AA2A17">
              <w:rPr>
                <w:rFonts w:cs="Arial"/>
                <w:szCs w:val="20"/>
              </w:rPr>
              <w:t>Toowoomba/</w:t>
            </w:r>
            <w:r w:rsidR="00AA2A17">
              <w:rPr>
                <w:rFonts w:cs="Arial"/>
                <w:szCs w:val="20"/>
              </w:rPr>
              <w:br/>
            </w:r>
            <w:r w:rsidRPr="00AA2A17">
              <w:rPr>
                <w:rFonts w:cs="Arial"/>
                <w:szCs w:val="20"/>
              </w:rPr>
              <w:t>Warwick</w:t>
            </w:r>
          </w:p>
        </w:tc>
        <w:tc>
          <w:tcPr>
            <w:tcW w:w="0" w:type="dxa"/>
          </w:tcPr>
          <w:p w14:paraId="09659078" w14:textId="366608BD"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 xml:space="preserve">Central </w:t>
            </w:r>
            <w:r w:rsidR="003B565B" w:rsidRPr="00AA2A17">
              <w:rPr>
                <w:rFonts w:ascii="Arial" w:hAnsi="Arial" w:cs="Arial"/>
                <w:sz w:val="20"/>
                <w:szCs w:val="20"/>
              </w:rPr>
              <w:t>Q</w:t>
            </w:r>
            <w:r w:rsidR="003B565B">
              <w:rPr>
                <w:rFonts w:ascii="Arial" w:hAnsi="Arial" w:cs="Arial"/>
                <w:sz w:val="20"/>
                <w:szCs w:val="20"/>
              </w:rPr>
              <w:t>ueensland</w:t>
            </w:r>
          </w:p>
        </w:tc>
        <w:tc>
          <w:tcPr>
            <w:tcW w:w="0" w:type="dxa"/>
          </w:tcPr>
          <w:p w14:paraId="4E994E95" w14:textId="77777777" w:rsidR="00542672" w:rsidRPr="00AA2A17" w:rsidRDefault="00542672" w:rsidP="00AA2A17">
            <w:pPr>
              <w:spacing w:after="0"/>
              <w:rPr>
                <w:rFonts w:cs="Arial"/>
                <w:szCs w:val="20"/>
              </w:rPr>
            </w:pPr>
            <w:r w:rsidRPr="00AA2A17">
              <w:rPr>
                <w:rFonts w:cs="Arial"/>
                <w:szCs w:val="20"/>
              </w:rPr>
              <w:t>3</w:t>
            </w:r>
          </w:p>
        </w:tc>
      </w:tr>
      <w:tr w:rsidR="00542672" w:rsidRPr="003D12A6" w14:paraId="12B83445" w14:textId="77777777" w:rsidTr="00246E23">
        <w:trPr>
          <w:cnfStyle w:val="000000010000" w:firstRow="0" w:lastRow="0" w:firstColumn="0" w:lastColumn="0" w:oddVBand="0" w:evenVBand="0" w:oddHBand="0" w:evenHBand="1" w:firstRowFirstColumn="0" w:firstRowLastColumn="0" w:lastRowFirstColumn="0" w:lastRowLastColumn="0"/>
          <w:trHeight w:val="279"/>
        </w:trPr>
        <w:tc>
          <w:tcPr>
            <w:tcW w:w="0" w:type="dxa"/>
            <w:vMerge w:val="restart"/>
          </w:tcPr>
          <w:p w14:paraId="473F6B65" w14:textId="77777777" w:rsidR="00542672" w:rsidRPr="00AB271F" w:rsidRDefault="00542672" w:rsidP="00AA2A17">
            <w:pPr>
              <w:spacing w:after="0"/>
              <w:rPr>
                <w:rFonts w:cs="Arial"/>
                <w:b/>
                <w:bCs/>
                <w:szCs w:val="20"/>
              </w:rPr>
            </w:pPr>
            <w:r w:rsidRPr="00AB271F">
              <w:rPr>
                <w:rFonts w:cs="Arial"/>
                <w:b/>
                <w:bCs/>
                <w:szCs w:val="20"/>
              </w:rPr>
              <w:t>Victoria</w:t>
            </w:r>
          </w:p>
        </w:tc>
        <w:tc>
          <w:tcPr>
            <w:tcW w:w="0" w:type="dxa"/>
          </w:tcPr>
          <w:p w14:paraId="6707D65C" w14:textId="77777777" w:rsidR="00542672" w:rsidRPr="00AA2A17" w:rsidRDefault="00542672" w:rsidP="00AA2A17">
            <w:pPr>
              <w:spacing w:after="0"/>
              <w:rPr>
                <w:rFonts w:cs="Arial"/>
                <w:szCs w:val="20"/>
              </w:rPr>
            </w:pPr>
            <w:r w:rsidRPr="00AA2A17">
              <w:rPr>
                <w:rFonts w:cs="Arial"/>
                <w:szCs w:val="20"/>
              </w:rPr>
              <w:t>Ballarat</w:t>
            </w:r>
          </w:p>
        </w:tc>
        <w:tc>
          <w:tcPr>
            <w:tcW w:w="0" w:type="dxa"/>
          </w:tcPr>
          <w:p w14:paraId="32B76B01" w14:textId="036A1A46"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Central Vic</w:t>
            </w:r>
            <w:r w:rsidR="003B565B">
              <w:rPr>
                <w:rFonts w:ascii="Arial" w:hAnsi="Arial" w:cs="Arial"/>
                <w:sz w:val="20"/>
                <w:szCs w:val="20"/>
              </w:rPr>
              <w:t>toria</w:t>
            </w:r>
          </w:p>
        </w:tc>
        <w:tc>
          <w:tcPr>
            <w:tcW w:w="0" w:type="dxa"/>
          </w:tcPr>
          <w:p w14:paraId="6A5D2743"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14277032" w14:textId="77777777" w:rsidTr="00246E23">
        <w:trPr>
          <w:cnfStyle w:val="000000100000" w:firstRow="0" w:lastRow="0" w:firstColumn="0" w:lastColumn="0" w:oddVBand="0" w:evenVBand="0" w:oddHBand="1" w:evenHBand="0" w:firstRowFirstColumn="0" w:firstRowLastColumn="0" w:lastRowFirstColumn="0" w:lastRowLastColumn="0"/>
          <w:trHeight w:val="264"/>
        </w:trPr>
        <w:tc>
          <w:tcPr>
            <w:tcW w:w="0" w:type="dxa"/>
            <w:vMerge/>
            <w:hideMark/>
          </w:tcPr>
          <w:p w14:paraId="3FBA095E" w14:textId="77777777" w:rsidR="00542672" w:rsidRPr="00AB271F" w:rsidRDefault="00542672" w:rsidP="00AA2A17">
            <w:pPr>
              <w:spacing w:after="0"/>
              <w:rPr>
                <w:rFonts w:cs="Arial"/>
                <w:b/>
                <w:bCs/>
                <w:szCs w:val="20"/>
              </w:rPr>
            </w:pPr>
          </w:p>
        </w:tc>
        <w:tc>
          <w:tcPr>
            <w:tcW w:w="0" w:type="dxa"/>
            <w:hideMark/>
          </w:tcPr>
          <w:p w14:paraId="5F062DDE" w14:textId="77777777" w:rsidR="00542672" w:rsidRPr="00AA2A17" w:rsidRDefault="00542672" w:rsidP="00AA2A17">
            <w:pPr>
              <w:spacing w:after="0"/>
              <w:rPr>
                <w:rFonts w:cs="Arial"/>
                <w:szCs w:val="20"/>
              </w:rPr>
            </w:pPr>
            <w:r w:rsidRPr="00AA2A17">
              <w:rPr>
                <w:rFonts w:cs="Arial"/>
                <w:szCs w:val="20"/>
              </w:rPr>
              <w:t>Mildura</w:t>
            </w:r>
          </w:p>
        </w:tc>
        <w:tc>
          <w:tcPr>
            <w:tcW w:w="0" w:type="dxa"/>
          </w:tcPr>
          <w:p w14:paraId="0B1A8BDF" w14:textId="187EA5AE"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S</w:t>
            </w:r>
            <w:r w:rsidR="003B565B">
              <w:rPr>
                <w:rFonts w:ascii="Arial" w:hAnsi="Arial" w:cs="Arial"/>
                <w:sz w:val="20"/>
                <w:szCs w:val="20"/>
              </w:rPr>
              <w:t>ou</w:t>
            </w:r>
            <w:r w:rsidRPr="00AA2A17">
              <w:rPr>
                <w:rFonts w:ascii="Arial" w:hAnsi="Arial" w:cs="Arial"/>
                <w:sz w:val="20"/>
                <w:szCs w:val="20"/>
              </w:rPr>
              <w:t>th</w:t>
            </w:r>
            <w:r w:rsidR="003B565B">
              <w:rPr>
                <w:rFonts w:ascii="Arial" w:hAnsi="Arial" w:cs="Arial"/>
                <w:sz w:val="20"/>
                <w:szCs w:val="20"/>
              </w:rPr>
              <w:t>er</w:t>
            </w:r>
            <w:r w:rsidRPr="00AA2A17">
              <w:rPr>
                <w:rFonts w:ascii="Arial" w:hAnsi="Arial" w:cs="Arial"/>
                <w:sz w:val="20"/>
                <w:szCs w:val="20"/>
              </w:rPr>
              <w:t>n NSW/West</w:t>
            </w:r>
            <w:r w:rsidR="003B565B">
              <w:rPr>
                <w:rFonts w:ascii="Arial" w:hAnsi="Arial" w:cs="Arial"/>
                <w:sz w:val="20"/>
                <w:szCs w:val="20"/>
              </w:rPr>
              <w:t>er</w:t>
            </w:r>
            <w:r w:rsidRPr="00AA2A17">
              <w:rPr>
                <w:rFonts w:ascii="Arial" w:hAnsi="Arial" w:cs="Arial"/>
                <w:sz w:val="20"/>
                <w:szCs w:val="20"/>
              </w:rPr>
              <w:t xml:space="preserve"> Vic</w:t>
            </w:r>
            <w:r w:rsidR="003B565B">
              <w:rPr>
                <w:rFonts w:ascii="Arial" w:hAnsi="Arial" w:cs="Arial"/>
                <w:sz w:val="20"/>
                <w:szCs w:val="20"/>
              </w:rPr>
              <w:t>toria</w:t>
            </w:r>
          </w:p>
        </w:tc>
        <w:tc>
          <w:tcPr>
            <w:tcW w:w="0" w:type="dxa"/>
          </w:tcPr>
          <w:p w14:paraId="59E72947"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6DEB8FE9" w14:textId="77777777" w:rsidTr="00246E23">
        <w:trPr>
          <w:cnfStyle w:val="000000010000" w:firstRow="0" w:lastRow="0" w:firstColumn="0" w:lastColumn="0" w:oddVBand="0" w:evenVBand="0" w:oddHBand="0" w:evenHBand="1" w:firstRowFirstColumn="0" w:firstRowLastColumn="0" w:lastRowFirstColumn="0" w:lastRowLastColumn="0"/>
          <w:trHeight w:val="261"/>
        </w:trPr>
        <w:tc>
          <w:tcPr>
            <w:tcW w:w="0" w:type="dxa"/>
            <w:vMerge/>
          </w:tcPr>
          <w:p w14:paraId="4807FB1E" w14:textId="77777777" w:rsidR="00542672" w:rsidRPr="00AB271F" w:rsidRDefault="00542672" w:rsidP="00AA2A17">
            <w:pPr>
              <w:spacing w:after="0"/>
              <w:rPr>
                <w:rFonts w:cs="Arial"/>
                <w:b/>
                <w:bCs/>
                <w:szCs w:val="20"/>
              </w:rPr>
            </w:pPr>
          </w:p>
        </w:tc>
        <w:tc>
          <w:tcPr>
            <w:tcW w:w="0" w:type="dxa"/>
          </w:tcPr>
          <w:p w14:paraId="75397647" w14:textId="77777777" w:rsidR="00542672" w:rsidRPr="00AA2A17" w:rsidRDefault="00542672" w:rsidP="00AA2A17">
            <w:pPr>
              <w:spacing w:after="0"/>
              <w:rPr>
                <w:rFonts w:cs="Arial"/>
                <w:szCs w:val="20"/>
              </w:rPr>
            </w:pPr>
            <w:r w:rsidRPr="00AA2A17">
              <w:rPr>
                <w:rFonts w:cs="Arial"/>
                <w:szCs w:val="20"/>
              </w:rPr>
              <w:t>Shepparton</w:t>
            </w:r>
          </w:p>
        </w:tc>
        <w:tc>
          <w:tcPr>
            <w:tcW w:w="0" w:type="dxa"/>
          </w:tcPr>
          <w:p w14:paraId="387B6D77" w14:textId="4DA6CB2B"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Central Vic</w:t>
            </w:r>
            <w:r w:rsidR="003B565B">
              <w:rPr>
                <w:rFonts w:ascii="Arial" w:hAnsi="Arial" w:cs="Arial"/>
                <w:sz w:val="20"/>
                <w:szCs w:val="20"/>
              </w:rPr>
              <w:t>toria</w:t>
            </w:r>
          </w:p>
        </w:tc>
        <w:tc>
          <w:tcPr>
            <w:tcW w:w="0" w:type="dxa"/>
          </w:tcPr>
          <w:p w14:paraId="4EAD6AEB"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0E8AA3C7" w14:textId="77777777" w:rsidTr="00246E23">
        <w:trPr>
          <w:cnfStyle w:val="000000100000" w:firstRow="0" w:lastRow="0" w:firstColumn="0" w:lastColumn="0" w:oddVBand="0" w:evenVBand="0" w:oddHBand="1" w:evenHBand="0" w:firstRowFirstColumn="0" w:firstRowLastColumn="0" w:lastRowFirstColumn="0" w:lastRowLastColumn="0"/>
          <w:trHeight w:val="261"/>
        </w:trPr>
        <w:tc>
          <w:tcPr>
            <w:tcW w:w="0" w:type="dxa"/>
            <w:vMerge/>
          </w:tcPr>
          <w:p w14:paraId="00FCD5FC" w14:textId="77777777" w:rsidR="00542672" w:rsidRPr="00AB271F" w:rsidRDefault="00542672" w:rsidP="00AA2A17">
            <w:pPr>
              <w:spacing w:after="0"/>
              <w:rPr>
                <w:rFonts w:cs="Arial"/>
                <w:b/>
                <w:bCs/>
                <w:szCs w:val="20"/>
              </w:rPr>
            </w:pPr>
          </w:p>
        </w:tc>
        <w:tc>
          <w:tcPr>
            <w:tcW w:w="0" w:type="dxa"/>
          </w:tcPr>
          <w:p w14:paraId="7EA9CD3B" w14:textId="77777777" w:rsidR="00542672" w:rsidRPr="00AA2A17" w:rsidRDefault="00542672" w:rsidP="00AA2A17">
            <w:pPr>
              <w:spacing w:after="0"/>
              <w:rPr>
                <w:rFonts w:cs="Arial"/>
                <w:szCs w:val="20"/>
              </w:rPr>
            </w:pPr>
            <w:r w:rsidRPr="00AA2A17">
              <w:rPr>
                <w:rFonts w:cs="Arial"/>
                <w:szCs w:val="20"/>
              </w:rPr>
              <w:t>Warragul</w:t>
            </w:r>
          </w:p>
        </w:tc>
        <w:tc>
          <w:tcPr>
            <w:tcW w:w="0" w:type="dxa"/>
          </w:tcPr>
          <w:p w14:paraId="5333427A" w14:textId="77777777"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Gippsland</w:t>
            </w:r>
          </w:p>
        </w:tc>
        <w:tc>
          <w:tcPr>
            <w:tcW w:w="0" w:type="dxa"/>
          </w:tcPr>
          <w:p w14:paraId="7C02B299" w14:textId="77777777" w:rsidR="00542672" w:rsidRPr="00AA2A17" w:rsidRDefault="00542672" w:rsidP="00AA2A17">
            <w:pPr>
              <w:spacing w:after="0"/>
              <w:rPr>
                <w:rFonts w:cs="Arial"/>
                <w:szCs w:val="20"/>
              </w:rPr>
            </w:pPr>
            <w:r w:rsidRPr="00AA2A17">
              <w:rPr>
                <w:rFonts w:cs="Arial"/>
                <w:szCs w:val="20"/>
              </w:rPr>
              <w:t>1</w:t>
            </w:r>
          </w:p>
        </w:tc>
      </w:tr>
      <w:tr w:rsidR="00542672" w:rsidRPr="003D12A6" w14:paraId="761326E6" w14:textId="77777777" w:rsidTr="00246E23">
        <w:trPr>
          <w:cnfStyle w:val="000000010000" w:firstRow="0" w:lastRow="0" w:firstColumn="0" w:lastColumn="0" w:oddVBand="0" w:evenVBand="0" w:oddHBand="0" w:evenHBand="1" w:firstRowFirstColumn="0" w:firstRowLastColumn="0" w:lastRowFirstColumn="0" w:lastRowLastColumn="0"/>
        </w:trPr>
        <w:tc>
          <w:tcPr>
            <w:tcW w:w="0" w:type="dxa"/>
          </w:tcPr>
          <w:p w14:paraId="77B9B712" w14:textId="77777777" w:rsidR="00542672" w:rsidRPr="00AB271F" w:rsidRDefault="00542672" w:rsidP="00AA2A17">
            <w:pPr>
              <w:spacing w:after="0"/>
              <w:rPr>
                <w:rFonts w:cs="Arial"/>
                <w:b/>
                <w:bCs/>
                <w:szCs w:val="20"/>
              </w:rPr>
            </w:pPr>
            <w:r w:rsidRPr="00AB271F">
              <w:rPr>
                <w:rFonts w:cs="Arial"/>
                <w:b/>
                <w:bCs/>
                <w:szCs w:val="20"/>
              </w:rPr>
              <w:t>Western Australia</w:t>
            </w:r>
          </w:p>
        </w:tc>
        <w:tc>
          <w:tcPr>
            <w:tcW w:w="0" w:type="dxa"/>
          </w:tcPr>
          <w:p w14:paraId="2AB12D12" w14:textId="77777777" w:rsidR="00542672" w:rsidRPr="00AA2A17" w:rsidRDefault="00542672" w:rsidP="00AA2A17">
            <w:pPr>
              <w:spacing w:after="0"/>
              <w:rPr>
                <w:rFonts w:cs="Arial"/>
                <w:szCs w:val="20"/>
              </w:rPr>
            </w:pPr>
            <w:r w:rsidRPr="00AA2A17">
              <w:rPr>
                <w:rFonts w:cs="Arial"/>
                <w:szCs w:val="20"/>
              </w:rPr>
              <w:t>Bunbury</w:t>
            </w:r>
          </w:p>
        </w:tc>
        <w:tc>
          <w:tcPr>
            <w:tcW w:w="0" w:type="dxa"/>
          </w:tcPr>
          <w:p w14:paraId="6A1AC502" w14:textId="6623B48D" w:rsidR="00542672" w:rsidRPr="00AA2A17" w:rsidRDefault="00542672" w:rsidP="00AA2A17">
            <w:pPr>
              <w:pStyle w:val="NormalWeb"/>
              <w:spacing w:before="0" w:beforeAutospacing="0" w:after="0" w:afterAutospacing="0"/>
              <w:rPr>
                <w:rFonts w:ascii="Arial" w:hAnsi="Arial" w:cs="Arial"/>
                <w:sz w:val="20"/>
                <w:szCs w:val="20"/>
              </w:rPr>
            </w:pPr>
            <w:r w:rsidRPr="00AA2A17">
              <w:rPr>
                <w:rFonts w:ascii="Arial" w:hAnsi="Arial" w:cs="Arial"/>
                <w:sz w:val="20"/>
                <w:szCs w:val="20"/>
              </w:rPr>
              <w:t>S</w:t>
            </w:r>
            <w:r w:rsidR="003B565B">
              <w:rPr>
                <w:rFonts w:ascii="Arial" w:hAnsi="Arial" w:cs="Arial"/>
                <w:sz w:val="20"/>
                <w:szCs w:val="20"/>
              </w:rPr>
              <w:t xml:space="preserve">outh </w:t>
            </w:r>
            <w:r w:rsidRPr="00AA2A17">
              <w:rPr>
                <w:rFonts w:ascii="Arial" w:hAnsi="Arial" w:cs="Arial"/>
                <w:sz w:val="20"/>
                <w:szCs w:val="20"/>
              </w:rPr>
              <w:t>W</w:t>
            </w:r>
            <w:r w:rsidR="003B565B">
              <w:rPr>
                <w:rFonts w:ascii="Arial" w:hAnsi="Arial" w:cs="Arial"/>
                <w:sz w:val="20"/>
                <w:szCs w:val="20"/>
              </w:rPr>
              <w:t>est</w:t>
            </w:r>
            <w:r w:rsidRPr="00AA2A17">
              <w:rPr>
                <w:rFonts w:ascii="Arial" w:hAnsi="Arial" w:cs="Arial"/>
                <w:sz w:val="20"/>
                <w:szCs w:val="20"/>
              </w:rPr>
              <w:t xml:space="preserve"> WA</w:t>
            </w:r>
          </w:p>
        </w:tc>
        <w:tc>
          <w:tcPr>
            <w:tcW w:w="0" w:type="dxa"/>
          </w:tcPr>
          <w:p w14:paraId="71D79244" w14:textId="6A6D5088" w:rsidR="00542672" w:rsidRPr="00AA2A17" w:rsidRDefault="00542672" w:rsidP="00AA2A17">
            <w:pPr>
              <w:spacing w:after="0"/>
              <w:rPr>
                <w:rFonts w:cs="Arial"/>
                <w:szCs w:val="20"/>
              </w:rPr>
            </w:pPr>
            <w:r w:rsidRPr="00AA2A17">
              <w:rPr>
                <w:rFonts w:cs="Arial"/>
                <w:szCs w:val="20"/>
              </w:rPr>
              <w:t>2 + 4 repeaters</w:t>
            </w:r>
          </w:p>
        </w:tc>
      </w:tr>
    </w:tbl>
    <w:p w14:paraId="0B4CA39D" w14:textId="77777777" w:rsidR="00F46287" w:rsidRDefault="00F46287" w:rsidP="00F46287">
      <w:pPr>
        <w:pStyle w:val="Paragraph"/>
      </w:pPr>
    </w:p>
    <w:p w14:paraId="4EDE1FA6" w14:textId="259D433E" w:rsidR="00E03073" w:rsidRPr="00C34500" w:rsidRDefault="00E03073" w:rsidP="00A05052">
      <w:pPr>
        <w:pStyle w:val="Tableheading"/>
        <w:keepLines/>
      </w:pPr>
      <w:r w:rsidRPr="00C34500">
        <w:lastRenderedPageBreak/>
        <w:t xml:space="preserve">List of </w:t>
      </w:r>
      <w:r>
        <w:t>interdependency groupings</w:t>
      </w:r>
    </w:p>
    <w:tbl>
      <w:tblPr>
        <w:tblStyle w:val="ACMAtablestyle"/>
        <w:tblW w:w="8212" w:type="dxa"/>
        <w:tblLayout w:type="fixed"/>
        <w:tblLook w:val="04A0" w:firstRow="1" w:lastRow="0" w:firstColumn="1" w:lastColumn="0" w:noHBand="0" w:noVBand="1"/>
      </w:tblPr>
      <w:tblGrid>
        <w:gridCol w:w="2738"/>
        <w:gridCol w:w="2737"/>
        <w:gridCol w:w="2737"/>
      </w:tblGrid>
      <w:tr w:rsidR="00F46287" w:rsidRPr="00F46287" w14:paraId="0228761F" w14:textId="77777777" w:rsidTr="00246E23">
        <w:trPr>
          <w:cnfStyle w:val="100000000000" w:firstRow="1" w:lastRow="0" w:firstColumn="0" w:lastColumn="0" w:oddVBand="0" w:evenVBand="0" w:oddHBand="0" w:evenHBand="0" w:firstRowFirstColumn="0" w:firstRowLastColumn="0" w:lastRowFirstColumn="0" w:lastRowLastColumn="0"/>
        </w:trPr>
        <w:tc>
          <w:tcPr>
            <w:tcW w:w="0" w:type="dxa"/>
            <w:hideMark/>
          </w:tcPr>
          <w:p w14:paraId="2B3FB234" w14:textId="77777777" w:rsidR="00A00B64" w:rsidRPr="00F46287" w:rsidRDefault="00A00B64" w:rsidP="00A05052">
            <w:pPr>
              <w:keepNext/>
              <w:keepLines/>
              <w:spacing w:after="0"/>
              <w:rPr>
                <w:rFonts w:cs="Arial"/>
                <w:b/>
                <w:bCs/>
                <w:szCs w:val="20"/>
              </w:rPr>
            </w:pPr>
            <w:r w:rsidRPr="00F46287">
              <w:rPr>
                <w:rFonts w:cs="Arial"/>
                <w:b/>
                <w:bCs/>
                <w:szCs w:val="20"/>
              </w:rPr>
              <w:t>Grouping</w:t>
            </w:r>
          </w:p>
        </w:tc>
        <w:tc>
          <w:tcPr>
            <w:tcW w:w="0" w:type="dxa"/>
            <w:hideMark/>
          </w:tcPr>
          <w:p w14:paraId="45A42CDD" w14:textId="77777777" w:rsidR="00A00B64" w:rsidRPr="00F46287" w:rsidRDefault="00A00B64" w:rsidP="00A05052">
            <w:pPr>
              <w:keepNext/>
              <w:keepLines/>
              <w:spacing w:after="0"/>
              <w:rPr>
                <w:rFonts w:cs="Arial"/>
                <w:b/>
                <w:bCs/>
                <w:szCs w:val="20"/>
              </w:rPr>
            </w:pPr>
            <w:r w:rsidRPr="00F46287">
              <w:rPr>
                <w:rFonts w:cs="Arial"/>
                <w:b/>
                <w:bCs/>
                <w:szCs w:val="20"/>
              </w:rPr>
              <w:t>Licence area</w:t>
            </w:r>
          </w:p>
        </w:tc>
        <w:tc>
          <w:tcPr>
            <w:tcW w:w="0" w:type="dxa"/>
          </w:tcPr>
          <w:p w14:paraId="4659E810" w14:textId="7DC604C2" w:rsidR="00A00B64" w:rsidRPr="00F46287" w:rsidRDefault="00DA46D6" w:rsidP="00A05052">
            <w:pPr>
              <w:keepNext/>
              <w:keepLines/>
              <w:spacing w:after="0"/>
              <w:rPr>
                <w:rFonts w:cs="Arial"/>
                <w:b/>
                <w:bCs/>
                <w:szCs w:val="20"/>
              </w:rPr>
            </w:pPr>
            <w:r w:rsidRPr="00F46287">
              <w:rPr>
                <w:rFonts w:cs="Arial"/>
                <w:b/>
                <w:bCs/>
                <w:szCs w:val="20"/>
              </w:rPr>
              <w:t>Non-competitive</w:t>
            </w:r>
            <w:r w:rsidR="00A00B64" w:rsidRPr="00F46287">
              <w:rPr>
                <w:rFonts w:cs="Arial"/>
                <w:b/>
                <w:bCs/>
                <w:szCs w:val="20"/>
              </w:rPr>
              <w:t>/Competitive</w:t>
            </w:r>
          </w:p>
        </w:tc>
      </w:tr>
      <w:tr w:rsidR="00F46287" w:rsidRPr="00F46287" w14:paraId="16CCDAFE"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val="restart"/>
          </w:tcPr>
          <w:p w14:paraId="6548419A" w14:textId="12CD0AFD" w:rsidR="00A00B64" w:rsidRPr="00F46287" w:rsidRDefault="00A00B64" w:rsidP="00A05052">
            <w:pPr>
              <w:keepNext/>
              <w:keepLines/>
              <w:spacing w:after="0"/>
              <w:rPr>
                <w:rFonts w:cs="Arial"/>
                <w:b/>
                <w:bCs/>
                <w:szCs w:val="20"/>
              </w:rPr>
            </w:pPr>
            <w:r w:rsidRPr="00F46287">
              <w:rPr>
                <w:rFonts w:cs="Arial"/>
                <w:b/>
                <w:bCs/>
                <w:szCs w:val="20"/>
              </w:rPr>
              <w:t>Far North Q</w:t>
            </w:r>
            <w:r w:rsidR="007419F3">
              <w:rPr>
                <w:rFonts w:cs="Arial"/>
                <w:b/>
                <w:bCs/>
                <w:szCs w:val="20"/>
              </w:rPr>
              <w:t>ueensland</w:t>
            </w:r>
          </w:p>
        </w:tc>
        <w:tc>
          <w:tcPr>
            <w:tcW w:w="0" w:type="dxa"/>
          </w:tcPr>
          <w:p w14:paraId="20098F96" w14:textId="77777777" w:rsidR="00A00B64" w:rsidRPr="00F46287" w:rsidRDefault="00A00B64" w:rsidP="00A05052">
            <w:pPr>
              <w:pStyle w:val="NormalWeb"/>
              <w:keepNext/>
              <w:keepLines/>
              <w:spacing w:before="0" w:beforeAutospacing="0" w:after="0" w:afterAutospacing="0"/>
              <w:rPr>
                <w:rFonts w:ascii="Arial" w:hAnsi="Arial" w:cs="Arial"/>
                <w:sz w:val="20"/>
                <w:szCs w:val="20"/>
              </w:rPr>
            </w:pPr>
            <w:r w:rsidRPr="00F46287">
              <w:rPr>
                <w:rFonts w:ascii="Arial" w:hAnsi="Arial" w:cs="Arial"/>
                <w:sz w:val="20"/>
                <w:szCs w:val="20"/>
              </w:rPr>
              <w:t>Atherton</w:t>
            </w:r>
          </w:p>
        </w:tc>
        <w:tc>
          <w:tcPr>
            <w:tcW w:w="0" w:type="dxa"/>
          </w:tcPr>
          <w:p w14:paraId="29D6216B" w14:textId="77777777" w:rsidR="00A00B64" w:rsidRPr="00F46287" w:rsidRDefault="00A00B64" w:rsidP="00A05052">
            <w:pPr>
              <w:keepNext/>
              <w:keepLines/>
              <w:spacing w:after="0" w:line="240" w:lineRule="auto"/>
              <w:rPr>
                <w:rFonts w:cs="Arial"/>
                <w:szCs w:val="20"/>
              </w:rPr>
            </w:pPr>
            <w:r w:rsidRPr="00F46287">
              <w:rPr>
                <w:rFonts w:cs="Arial"/>
                <w:szCs w:val="20"/>
              </w:rPr>
              <w:t>Competitive</w:t>
            </w:r>
          </w:p>
        </w:tc>
      </w:tr>
      <w:tr w:rsidR="00F46287" w:rsidRPr="00F46287" w14:paraId="6BC42C09"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4BFA02F0" w14:textId="77777777" w:rsidR="00A00B64" w:rsidRPr="00F46287" w:rsidRDefault="00A00B64" w:rsidP="00A05052">
            <w:pPr>
              <w:keepNext/>
              <w:keepLines/>
              <w:spacing w:after="0"/>
              <w:rPr>
                <w:rFonts w:cs="Arial"/>
                <w:b/>
                <w:bCs/>
                <w:szCs w:val="20"/>
              </w:rPr>
            </w:pPr>
          </w:p>
        </w:tc>
        <w:tc>
          <w:tcPr>
            <w:tcW w:w="0" w:type="dxa"/>
          </w:tcPr>
          <w:p w14:paraId="514F81A9" w14:textId="77777777" w:rsidR="00A00B64" w:rsidRPr="00F46287" w:rsidRDefault="00A00B64" w:rsidP="00A05052">
            <w:pPr>
              <w:pStyle w:val="NormalWeb"/>
              <w:keepNext/>
              <w:keepLines/>
              <w:spacing w:before="0" w:beforeAutospacing="0" w:after="0" w:afterAutospacing="0"/>
              <w:rPr>
                <w:rFonts w:ascii="Arial" w:hAnsi="Arial" w:cs="Arial"/>
                <w:sz w:val="20"/>
                <w:szCs w:val="20"/>
              </w:rPr>
            </w:pPr>
            <w:r w:rsidRPr="00F46287">
              <w:rPr>
                <w:rFonts w:ascii="Arial" w:hAnsi="Arial" w:cs="Arial"/>
                <w:sz w:val="20"/>
                <w:szCs w:val="20"/>
              </w:rPr>
              <w:t>Cairns</w:t>
            </w:r>
          </w:p>
        </w:tc>
        <w:tc>
          <w:tcPr>
            <w:tcW w:w="0" w:type="dxa"/>
          </w:tcPr>
          <w:p w14:paraId="722E0D61" w14:textId="77777777" w:rsidR="00A00B64" w:rsidRPr="00F46287" w:rsidRDefault="00A00B64" w:rsidP="00A05052">
            <w:pPr>
              <w:keepNext/>
              <w:keepLines/>
              <w:spacing w:after="0" w:line="240" w:lineRule="auto"/>
              <w:rPr>
                <w:rFonts w:cs="Arial"/>
                <w:szCs w:val="20"/>
              </w:rPr>
            </w:pPr>
            <w:r w:rsidRPr="00F46287">
              <w:rPr>
                <w:rFonts w:cs="Arial"/>
                <w:szCs w:val="20"/>
              </w:rPr>
              <w:t>Competitive</w:t>
            </w:r>
          </w:p>
        </w:tc>
      </w:tr>
      <w:tr w:rsidR="00F46287" w:rsidRPr="00F46287" w14:paraId="6154E283"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5FDA4164" w14:textId="77777777" w:rsidR="00A00B64" w:rsidRPr="00F46287" w:rsidRDefault="00A00B64" w:rsidP="00A05052">
            <w:pPr>
              <w:keepNext/>
              <w:keepLines/>
              <w:spacing w:after="0"/>
              <w:rPr>
                <w:rFonts w:cs="Arial"/>
                <w:b/>
                <w:bCs/>
                <w:szCs w:val="20"/>
              </w:rPr>
            </w:pPr>
          </w:p>
        </w:tc>
        <w:tc>
          <w:tcPr>
            <w:tcW w:w="0" w:type="dxa"/>
          </w:tcPr>
          <w:p w14:paraId="530B775D" w14:textId="77777777" w:rsidR="00A00B64" w:rsidRPr="00F46287" w:rsidRDefault="00A00B64" w:rsidP="00A05052">
            <w:pPr>
              <w:pStyle w:val="NormalWeb"/>
              <w:keepNext/>
              <w:keepLines/>
              <w:spacing w:before="0" w:beforeAutospacing="0" w:after="0" w:afterAutospacing="0"/>
              <w:rPr>
                <w:rFonts w:ascii="Arial" w:hAnsi="Arial" w:cs="Arial"/>
                <w:sz w:val="20"/>
                <w:szCs w:val="20"/>
              </w:rPr>
            </w:pPr>
            <w:r w:rsidRPr="00F46287">
              <w:rPr>
                <w:rFonts w:ascii="Arial" w:hAnsi="Arial" w:cs="Arial"/>
                <w:sz w:val="20"/>
                <w:szCs w:val="20"/>
              </w:rPr>
              <w:t>Innisfail</w:t>
            </w:r>
          </w:p>
        </w:tc>
        <w:tc>
          <w:tcPr>
            <w:tcW w:w="0" w:type="dxa"/>
          </w:tcPr>
          <w:p w14:paraId="79EF030C" w14:textId="30B18422" w:rsidR="00A00B64" w:rsidRPr="00F46287" w:rsidRDefault="00DA46D6" w:rsidP="00A05052">
            <w:pPr>
              <w:keepNext/>
              <w:keepLines/>
              <w:spacing w:after="0" w:line="240" w:lineRule="auto"/>
              <w:rPr>
                <w:rFonts w:cs="Arial"/>
                <w:szCs w:val="20"/>
              </w:rPr>
            </w:pPr>
            <w:r w:rsidRPr="00F46287">
              <w:rPr>
                <w:rFonts w:cs="Arial"/>
                <w:szCs w:val="20"/>
              </w:rPr>
              <w:t xml:space="preserve">Non-competitive </w:t>
            </w:r>
          </w:p>
        </w:tc>
      </w:tr>
      <w:tr w:rsidR="00F46287" w:rsidRPr="00F46287" w14:paraId="1EB19060"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tcPr>
          <w:p w14:paraId="10829EE0" w14:textId="5F2B41A2" w:rsidR="00A00B64" w:rsidRPr="00F46287" w:rsidRDefault="00A00B64" w:rsidP="00A05052">
            <w:pPr>
              <w:keepNext/>
              <w:keepLines/>
              <w:spacing w:after="0"/>
              <w:rPr>
                <w:rFonts w:cs="Arial"/>
                <w:b/>
                <w:bCs/>
                <w:szCs w:val="20"/>
              </w:rPr>
            </w:pPr>
            <w:r w:rsidRPr="00F46287">
              <w:rPr>
                <w:rFonts w:cs="Arial"/>
                <w:b/>
                <w:bCs/>
                <w:szCs w:val="20"/>
              </w:rPr>
              <w:t xml:space="preserve">Western </w:t>
            </w:r>
            <w:r w:rsidR="007419F3" w:rsidRPr="00F46287">
              <w:rPr>
                <w:rFonts w:cs="Arial"/>
                <w:b/>
                <w:bCs/>
                <w:szCs w:val="20"/>
              </w:rPr>
              <w:t>Q</w:t>
            </w:r>
            <w:r w:rsidR="007419F3">
              <w:rPr>
                <w:rFonts w:cs="Arial"/>
                <w:b/>
                <w:bCs/>
                <w:szCs w:val="20"/>
              </w:rPr>
              <w:t>ueensland</w:t>
            </w:r>
          </w:p>
        </w:tc>
        <w:tc>
          <w:tcPr>
            <w:tcW w:w="0" w:type="dxa"/>
          </w:tcPr>
          <w:p w14:paraId="7E159E56" w14:textId="77777777" w:rsidR="00A00B64" w:rsidRPr="00F46287" w:rsidRDefault="00A00B64" w:rsidP="00A05052">
            <w:pPr>
              <w:pStyle w:val="NormalWeb"/>
              <w:keepNext/>
              <w:keepLines/>
              <w:spacing w:before="0" w:beforeAutospacing="0" w:after="0" w:afterAutospacing="0"/>
              <w:rPr>
                <w:rFonts w:ascii="Arial" w:hAnsi="Arial" w:cs="Arial"/>
                <w:sz w:val="20"/>
                <w:szCs w:val="20"/>
              </w:rPr>
            </w:pPr>
            <w:r w:rsidRPr="00F46287">
              <w:rPr>
                <w:rFonts w:ascii="Arial" w:hAnsi="Arial" w:cs="Arial"/>
                <w:sz w:val="20"/>
                <w:szCs w:val="20"/>
              </w:rPr>
              <w:t>Charleville</w:t>
            </w:r>
          </w:p>
        </w:tc>
        <w:tc>
          <w:tcPr>
            <w:tcW w:w="0" w:type="dxa"/>
          </w:tcPr>
          <w:p w14:paraId="1E683478" w14:textId="2526D75B" w:rsidR="00A00B64" w:rsidRPr="00F46287" w:rsidRDefault="00DA46D6" w:rsidP="00A05052">
            <w:pPr>
              <w:keepNext/>
              <w:keepLines/>
              <w:spacing w:after="0" w:line="240" w:lineRule="auto"/>
              <w:rPr>
                <w:rFonts w:cs="Arial"/>
                <w:szCs w:val="20"/>
              </w:rPr>
            </w:pPr>
            <w:r w:rsidRPr="00F46287">
              <w:rPr>
                <w:rFonts w:cs="Arial"/>
                <w:szCs w:val="20"/>
              </w:rPr>
              <w:t>Non-competitive</w:t>
            </w:r>
          </w:p>
        </w:tc>
      </w:tr>
      <w:tr w:rsidR="00F46287" w:rsidRPr="00F46287" w14:paraId="4E1B551C"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1CFC6FDE" w14:textId="77777777" w:rsidR="00A00B64" w:rsidRPr="00F46287" w:rsidRDefault="00A00B64" w:rsidP="00F46287">
            <w:pPr>
              <w:spacing w:after="0"/>
              <w:rPr>
                <w:rFonts w:cs="Arial"/>
                <w:b/>
                <w:bCs/>
                <w:szCs w:val="20"/>
              </w:rPr>
            </w:pPr>
          </w:p>
        </w:tc>
        <w:tc>
          <w:tcPr>
            <w:tcW w:w="0" w:type="dxa"/>
          </w:tcPr>
          <w:p w14:paraId="1B5C6BF2"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Charters Towers</w:t>
            </w:r>
          </w:p>
        </w:tc>
        <w:tc>
          <w:tcPr>
            <w:tcW w:w="0" w:type="dxa"/>
          </w:tcPr>
          <w:p w14:paraId="43A5E3A7" w14:textId="5E209114"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72012205"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099CEC0A" w14:textId="77777777" w:rsidR="00A00B64" w:rsidRPr="00F46287" w:rsidRDefault="00A00B64" w:rsidP="00F46287">
            <w:pPr>
              <w:spacing w:after="0"/>
              <w:rPr>
                <w:rFonts w:cs="Arial"/>
                <w:b/>
                <w:bCs/>
                <w:szCs w:val="20"/>
              </w:rPr>
            </w:pPr>
          </w:p>
        </w:tc>
        <w:tc>
          <w:tcPr>
            <w:tcW w:w="0" w:type="dxa"/>
          </w:tcPr>
          <w:p w14:paraId="6417FF71"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Longreach</w:t>
            </w:r>
          </w:p>
        </w:tc>
        <w:tc>
          <w:tcPr>
            <w:tcW w:w="0" w:type="dxa"/>
          </w:tcPr>
          <w:p w14:paraId="07AF7AA8" w14:textId="226A8FFF"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1A34976F"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val="restart"/>
          </w:tcPr>
          <w:p w14:paraId="3083135A" w14:textId="1981C6C2" w:rsidR="00A00B64" w:rsidRPr="00F46287" w:rsidRDefault="00A00B64" w:rsidP="00F46287">
            <w:pPr>
              <w:spacing w:after="0"/>
              <w:rPr>
                <w:rFonts w:cs="Arial"/>
                <w:b/>
                <w:bCs/>
                <w:szCs w:val="20"/>
              </w:rPr>
            </w:pPr>
            <w:r w:rsidRPr="00F46287">
              <w:rPr>
                <w:rFonts w:cs="Arial"/>
                <w:b/>
                <w:bCs/>
                <w:szCs w:val="20"/>
              </w:rPr>
              <w:t xml:space="preserve">Central </w:t>
            </w:r>
            <w:r w:rsidR="007419F3" w:rsidRPr="00F46287">
              <w:rPr>
                <w:rFonts w:cs="Arial"/>
                <w:b/>
                <w:bCs/>
                <w:szCs w:val="20"/>
              </w:rPr>
              <w:t>Q</w:t>
            </w:r>
            <w:r w:rsidR="007419F3">
              <w:rPr>
                <w:rFonts w:cs="Arial"/>
                <w:b/>
                <w:bCs/>
                <w:szCs w:val="20"/>
              </w:rPr>
              <w:t>ueensland</w:t>
            </w:r>
          </w:p>
        </w:tc>
        <w:tc>
          <w:tcPr>
            <w:tcW w:w="0" w:type="dxa"/>
          </w:tcPr>
          <w:p w14:paraId="2F8A2F26"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Bundaberg</w:t>
            </w:r>
          </w:p>
        </w:tc>
        <w:tc>
          <w:tcPr>
            <w:tcW w:w="0" w:type="dxa"/>
          </w:tcPr>
          <w:p w14:paraId="633F9B45"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76F21CD6"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6EA25058" w14:textId="77777777" w:rsidR="00A00B64" w:rsidRPr="00F46287" w:rsidRDefault="00A00B64" w:rsidP="00F46287">
            <w:pPr>
              <w:spacing w:after="0"/>
              <w:rPr>
                <w:rFonts w:cs="Arial"/>
                <w:szCs w:val="20"/>
              </w:rPr>
            </w:pPr>
          </w:p>
        </w:tc>
        <w:tc>
          <w:tcPr>
            <w:tcW w:w="0" w:type="dxa"/>
          </w:tcPr>
          <w:p w14:paraId="63F123B2"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Emerald</w:t>
            </w:r>
          </w:p>
        </w:tc>
        <w:tc>
          <w:tcPr>
            <w:tcW w:w="0" w:type="dxa"/>
          </w:tcPr>
          <w:p w14:paraId="34F35AE0"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5D417EA5"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4149394D" w14:textId="77777777" w:rsidR="00A00B64" w:rsidRPr="00F46287" w:rsidRDefault="00A00B64" w:rsidP="00082F8A">
            <w:pPr>
              <w:spacing w:after="0"/>
              <w:jc w:val="center"/>
              <w:rPr>
                <w:rFonts w:cs="Arial"/>
                <w:szCs w:val="20"/>
              </w:rPr>
            </w:pPr>
          </w:p>
        </w:tc>
        <w:tc>
          <w:tcPr>
            <w:tcW w:w="0" w:type="dxa"/>
          </w:tcPr>
          <w:p w14:paraId="312806AE"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Gympie</w:t>
            </w:r>
          </w:p>
        </w:tc>
        <w:tc>
          <w:tcPr>
            <w:tcW w:w="0" w:type="dxa"/>
          </w:tcPr>
          <w:p w14:paraId="67951487"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5758CF2E"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34A46698" w14:textId="77777777" w:rsidR="00A00B64" w:rsidRPr="00F46287" w:rsidRDefault="00A00B64" w:rsidP="00082F8A">
            <w:pPr>
              <w:spacing w:after="0"/>
              <w:jc w:val="center"/>
              <w:rPr>
                <w:rFonts w:cs="Arial"/>
                <w:szCs w:val="20"/>
              </w:rPr>
            </w:pPr>
          </w:p>
        </w:tc>
        <w:tc>
          <w:tcPr>
            <w:tcW w:w="0" w:type="dxa"/>
          </w:tcPr>
          <w:p w14:paraId="2200A937"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Kingaroy</w:t>
            </w:r>
          </w:p>
        </w:tc>
        <w:tc>
          <w:tcPr>
            <w:tcW w:w="0" w:type="dxa"/>
          </w:tcPr>
          <w:p w14:paraId="0E686E36"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7298C4A9"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0510EF15" w14:textId="77777777" w:rsidR="00A00B64" w:rsidRPr="00F46287" w:rsidRDefault="00A00B64" w:rsidP="00082F8A">
            <w:pPr>
              <w:spacing w:after="0"/>
              <w:jc w:val="center"/>
              <w:rPr>
                <w:rFonts w:cs="Arial"/>
                <w:szCs w:val="20"/>
              </w:rPr>
            </w:pPr>
          </w:p>
        </w:tc>
        <w:tc>
          <w:tcPr>
            <w:tcW w:w="0" w:type="dxa"/>
          </w:tcPr>
          <w:p w14:paraId="75B0A429"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Mackay</w:t>
            </w:r>
          </w:p>
        </w:tc>
        <w:tc>
          <w:tcPr>
            <w:tcW w:w="0" w:type="dxa"/>
          </w:tcPr>
          <w:p w14:paraId="1496A731"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09E60A4B"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69BD7AA2" w14:textId="77777777" w:rsidR="00A00B64" w:rsidRPr="00F46287" w:rsidRDefault="00A00B64" w:rsidP="00082F8A">
            <w:pPr>
              <w:spacing w:after="0"/>
              <w:jc w:val="center"/>
              <w:rPr>
                <w:rFonts w:cs="Arial"/>
                <w:szCs w:val="20"/>
              </w:rPr>
            </w:pPr>
          </w:p>
        </w:tc>
        <w:tc>
          <w:tcPr>
            <w:tcW w:w="0" w:type="dxa"/>
          </w:tcPr>
          <w:p w14:paraId="251680C7" w14:textId="492B9E4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Maryborough</w:t>
            </w:r>
          </w:p>
        </w:tc>
        <w:tc>
          <w:tcPr>
            <w:tcW w:w="0" w:type="dxa"/>
          </w:tcPr>
          <w:p w14:paraId="6B5729A8"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10B278C6"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5925A740" w14:textId="77777777" w:rsidR="00A00B64" w:rsidRPr="00F46287" w:rsidRDefault="00A00B64" w:rsidP="00082F8A">
            <w:pPr>
              <w:spacing w:after="0"/>
              <w:jc w:val="center"/>
              <w:rPr>
                <w:rFonts w:cs="Arial"/>
                <w:szCs w:val="20"/>
              </w:rPr>
            </w:pPr>
          </w:p>
        </w:tc>
        <w:tc>
          <w:tcPr>
            <w:tcW w:w="0" w:type="dxa"/>
          </w:tcPr>
          <w:p w14:paraId="148E3172"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Rockhampton</w:t>
            </w:r>
          </w:p>
        </w:tc>
        <w:tc>
          <w:tcPr>
            <w:tcW w:w="0" w:type="dxa"/>
          </w:tcPr>
          <w:p w14:paraId="2E0BAB2C"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16936284"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29D009D7" w14:textId="77777777" w:rsidR="00A00B64" w:rsidRPr="00F46287" w:rsidRDefault="00A00B64" w:rsidP="00082F8A">
            <w:pPr>
              <w:spacing w:after="0"/>
              <w:jc w:val="center"/>
              <w:rPr>
                <w:rFonts w:cs="Arial"/>
                <w:szCs w:val="20"/>
              </w:rPr>
            </w:pPr>
          </w:p>
        </w:tc>
        <w:tc>
          <w:tcPr>
            <w:tcW w:w="0" w:type="dxa"/>
          </w:tcPr>
          <w:p w14:paraId="2D1642A4"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Roma</w:t>
            </w:r>
          </w:p>
        </w:tc>
        <w:tc>
          <w:tcPr>
            <w:tcW w:w="0" w:type="dxa"/>
          </w:tcPr>
          <w:p w14:paraId="4A0756A2"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7268BC18"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2F371761" w14:textId="77777777" w:rsidR="00A00B64" w:rsidRPr="00F46287" w:rsidRDefault="00A00B64" w:rsidP="00082F8A">
            <w:pPr>
              <w:spacing w:after="0"/>
              <w:jc w:val="center"/>
              <w:rPr>
                <w:rFonts w:cs="Arial"/>
                <w:szCs w:val="20"/>
              </w:rPr>
            </w:pPr>
          </w:p>
        </w:tc>
        <w:tc>
          <w:tcPr>
            <w:tcW w:w="0" w:type="dxa"/>
          </w:tcPr>
          <w:p w14:paraId="6F88AB45"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Toowoomba/Warwick</w:t>
            </w:r>
          </w:p>
        </w:tc>
        <w:tc>
          <w:tcPr>
            <w:tcW w:w="0" w:type="dxa"/>
          </w:tcPr>
          <w:p w14:paraId="691F5765"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10D71C95" w14:textId="77777777" w:rsidTr="00246E23">
        <w:trPr>
          <w:cnfStyle w:val="000000010000" w:firstRow="0" w:lastRow="0" w:firstColumn="0" w:lastColumn="0" w:oddVBand="0" w:evenVBand="0" w:oddHBand="0" w:evenHBand="1" w:firstRowFirstColumn="0" w:firstRowLastColumn="0" w:lastRowFirstColumn="0" w:lastRowLastColumn="0"/>
        </w:trPr>
        <w:tc>
          <w:tcPr>
            <w:tcW w:w="0" w:type="dxa"/>
            <w:vMerge w:val="restart"/>
          </w:tcPr>
          <w:p w14:paraId="3704CEF8" w14:textId="77777777" w:rsidR="00A00B64" w:rsidRPr="00F46287" w:rsidRDefault="00A00B64" w:rsidP="00F46287">
            <w:pPr>
              <w:spacing w:after="0"/>
              <w:rPr>
                <w:rFonts w:cs="Arial"/>
                <w:b/>
                <w:bCs/>
                <w:szCs w:val="20"/>
              </w:rPr>
            </w:pPr>
            <w:r w:rsidRPr="00F46287">
              <w:rPr>
                <w:rFonts w:cs="Arial"/>
                <w:b/>
                <w:bCs/>
                <w:szCs w:val="20"/>
              </w:rPr>
              <w:t>North Coast NSW</w:t>
            </w:r>
          </w:p>
        </w:tc>
        <w:tc>
          <w:tcPr>
            <w:tcW w:w="0" w:type="dxa"/>
          </w:tcPr>
          <w:p w14:paraId="4E84C973"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Coffs Harbour</w:t>
            </w:r>
          </w:p>
        </w:tc>
        <w:tc>
          <w:tcPr>
            <w:tcW w:w="0" w:type="dxa"/>
          </w:tcPr>
          <w:p w14:paraId="573113F2"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Competitive</w:t>
            </w:r>
          </w:p>
        </w:tc>
      </w:tr>
      <w:tr w:rsidR="00F46287" w:rsidRPr="00F46287" w14:paraId="2F345E9B"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277048A9" w14:textId="77777777" w:rsidR="00A00B64" w:rsidRPr="00F46287" w:rsidRDefault="00A00B64" w:rsidP="00F46287">
            <w:pPr>
              <w:spacing w:after="0"/>
              <w:rPr>
                <w:rFonts w:cs="Arial"/>
                <w:b/>
                <w:bCs/>
                <w:szCs w:val="20"/>
              </w:rPr>
            </w:pPr>
          </w:p>
        </w:tc>
        <w:tc>
          <w:tcPr>
            <w:tcW w:w="0" w:type="dxa"/>
            <w:hideMark/>
          </w:tcPr>
          <w:p w14:paraId="19A04EA4"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Kempsey</w:t>
            </w:r>
          </w:p>
        </w:tc>
        <w:tc>
          <w:tcPr>
            <w:tcW w:w="0" w:type="dxa"/>
          </w:tcPr>
          <w:p w14:paraId="35F5BBDA"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3AC60D83"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tcPr>
          <w:p w14:paraId="071E33EF" w14:textId="77777777" w:rsidR="00A00B64" w:rsidRPr="00F46287" w:rsidRDefault="00A00B64" w:rsidP="00F46287">
            <w:pPr>
              <w:spacing w:after="0"/>
              <w:rPr>
                <w:rFonts w:cs="Arial"/>
                <w:b/>
                <w:bCs/>
                <w:szCs w:val="20"/>
              </w:rPr>
            </w:pPr>
            <w:r w:rsidRPr="00F46287">
              <w:rPr>
                <w:rFonts w:cs="Arial"/>
                <w:b/>
                <w:bCs/>
                <w:szCs w:val="20"/>
              </w:rPr>
              <w:t>Hunter</w:t>
            </w:r>
          </w:p>
        </w:tc>
        <w:tc>
          <w:tcPr>
            <w:tcW w:w="0" w:type="dxa"/>
          </w:tcPr>
          <w:p w14:paraId="2CBB0036"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Muswellbrook</w:t>
            </w:r>
          </w:p>
        </w:tc>
        <w:tc>
          <w:tcPr>
            <w:tcW w:w="0" w:type="dxa"/>
          </w:tcPr>
          <w:p w14:paraId="1D03EDCA" w14:textId="6CCFEBB5" w:rsidR="00A00B64" w:rsidRPr="00F46287" w:rsidRDefault="00531606" w:rsidP="00F46287">
            <w:pPr>
              <w:spacing w:after="0" w:line="240" w:lineRule="auto"/>
              <w:rPr>
                <w:rFonts w:cs="Arial"/>
                <w:szCs w:val="20"/>
              </w:rPr>
            </w:pPr>
            <w:r w:rsidRPr="00F46287">
              <w:rPr>
                <w:rFonts w:cs="Arial"/>
                <w:szCs w:val="20"/>
              </w:rPr>
              <w:t>Competitive</w:t>
            </w:r>
          </w:p>
        </w:tc>
      </w:tr>
      <w:tr w:rsidR="00F46287" w:rsidRPr="00F46287" w14:paraId="16479BE9"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5B013E18" w14:textId="77777777" w:rsidR="00A00B64" w:rsidRPr="00F46287" w:rsidRDefault="00A00B64" w:rsidP="00F46287">
            <w:pPr>
              <w:spacing w:after="0"/>
              <w:rPr>
                <w:rFonts w:cs="Arial"/>
                <w:b/>
                <w:bCs/>
                <w:szCs w:val="20"/>
              </w:rPr>
            </w:pPr>
          </w:p>
        </w:tc>
        <w:tc>
          <w:tcPr>
            <w:tcW w:w="0" w:type="dxa"/>
          </w:tcPr>
          <w:p w14:paraId="59B800F3"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Newcastle</w:t>
            </w:r>
          </w:p>
        </w:tc>
        <w:tc>
          <w:tcPr>
            <w:tcW w:w="0" w:type="dxa"/>
          </w:tcPr>
          <w:p w14:paraId="03094924"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168E8BF2"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tcPr>
          <w:p w14:paraId="5434E51B" w14:textId="77777777" w:rsidR="00A00B64" w:rsidRPr="00F46287" w:rsidRDefault="00A00B64" w:rsidP="00F46287">
            <w:pPr>
              <w:spacing w:after="0"/>
              <w:rPr>
                <w:rFonts w:cs="Arial"/>
                <w:b/>
                <w:bCs/>
                <w:szCs w:val="20"/>
              </w:rPr>
            </w:pPr>
            <w:r w:rsidRPr="00F46287">
              <w:rPr>
                <w:rFonts w:cs="Arial"/>
                <w:b/>
                <w:bCs/>
                <w:szCs w:val="20"/>
              </w:rPr>
              <w:t>Inland NSW</w:t>
            </w:r>
          </w:p>
        </w:tc>
        <w:tc>
          <w:tcPr>
            <w:tcW w:w="0" w:type="dxa"/>
          </w:tcPr>
          <w:p w14:paraId="0C4614C7"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Dubbo</w:t>
            </w:r>
          </w:p>
        </w:tc>
        <w:tc>
          <w:tcPr>
            <w:tcW w:w="0" w:type="dxa"/>
          </w:tcPr>
          <w:p w14:paraId="7797D335"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584F1A56"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759B87C5" w14:textId="77777777" w:rsidR="00A00B64" w:rsidRPr="00F46287" w:rsidRDefault="00A00B64" w:rsidP="00F46287">
            <w:pPr>
              <w:spacing w:after="0"/>
              <w:rPr>
                <w:rFonts w:cs="Arial"/>
                <w:b/>
                <w:bCs/>
                <w:szCs w:val="20"/>
              </w:rPr>
            </w:pPr>
          </w:p>
        </w:tc>
        <w:tc>
          <w:tcPr>
            <w:tcW w:w="0" w:type="dxa"/>
          </w:tcPr>
          <w:p w14:paraId="6AB48DFE"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Gunnedah</w:t>
            </w:r>
          </w:p>
        </w:tc>
        <w:tc>
          <w:tcPr>
            <w:tcW w:w="0" w:type="dxa"/>
          </w:tcPr>
          <w:p w14:paraId="2BB84C2D" w14:textId="6D22FA68"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463AFB95"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6DB233B9" w14:textId="77777777" w:rsidR="00A00B64" w:rsidRPr="00F46287" w:rsidRDefault="00A00B64" w:rsidP="00F46287">
            <w:pPr>
              <w:spacing w:after="0"/>
              <w:rPr>
                <w:rFonts w:cs="Arial"/>
                <w:b/>
                <w:bCs/>
                <w:szCs w:val="20"/>
              </w:rPr>
            </w:pPr>
          </w:p>
        </w:tc>
        <w:tc>
          <w:tcPr>
            <w:tcW w:w="0" w:type="dxa"/>
          </w:tcPr>
          <w:p w14:paraId="68774248"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Inverell</w:t>
            </w:r>
          </w:p>
        </w:tc>
        <w:tc>
          <w:tcPr>
            <w:tcW w:w="0" w:type="dxa"/>
          </w:tcPr>
          <w:p w14:paraId="4236AA95" w14:textId="71ED60A3"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6B61665C"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5FD25AB8" w14:textId="77777777" w:rsidR="00A00B64" w:rsidRPr="00F46287" w:rsidRDefault="00A00B64" w:rsidP="00F46287">
            <w:pPr>
              <w:spacing w:after="0"/>
              <w:rPr>
                <w:rFonts w:cs="Arial"/>
                <w:b/>
                <w:bCs/>
                <w:szCs w:val="20"/>
              </w:rPr>
            </w:pPr>
          </w:p>
        </w:tc>
        <w:tc>
          <w:tcPr>
            <w:tcW w:w="0" w:type="dxa"/>
          </w:tcPr>
          <w:p w14:paraId="23EF2BA6"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Orange</w:t>
            </w:r>
          </w:p>
        </w:tc>
        <w:tc>
          <w:tcPr>
            <w:tcW w:w="0" w:type="dxa"/>
          </w:tcPr>
          <w:p w14:paraId="296A3AE0"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77527BF2"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tcPr>
          <w:p w14:paraId="12A0C01A" w14:textId="77777777" w:rsidR="00A00B64" w:rsidRPr="00F46287" w:rsidRDefault="00A00B64" w:rsidP="00F46287">
            <w:pPr>
              <w:spacing w:after="0"/>
              <w:rPr>
                <w:rFonts w:cs="Arial"/>
                <w:b/>
                <w:bCs/>
                <w:szCs w:val="20"/>
              </w:rPr>
            </w:pPr>
            <w:r w:rsidRPr="00F46287">
              <w:rPr>
                <w:rFonts w:cs="Arial"/>
                <w:b/>
                <w:bCs/>
                <w:szCs w:val="20"/>
              </w:rPr>
              <w:t>Gippsland</w:t>
            </w:r>
          </w:p>
        </w:tc>
        <w:tc>
          <w:tcPr>
            <w:tcW w:w="0" w:type="dxa"/>
          </w:tcPr>
          <w:p w14:paraId="3BF64F7B"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Sale</w:t>
            </w:r>
          </w:p>
        </w:tc>
        <w:tc>
          <w:tcPr>
            <w:tcW w:w="0" w:type="dxa"/>
          </w:tcPr>
          <w:p w14:paraId="7353F7B3" w14:textId="329BC910" w:rsidR="00A00B64" w:rsidRPr="00F46287" w:rsidRDefault="00531606" w:rsidP="00F46287">
            <w:pPr>
              <w:spacing w:after="0" w:line="240" w:lineRule="auto"/>
              <w:rPr>
                <w:rFonts w:cs="Arial"/>
                <w:szCs w:val="20"/>
              </w:rPr>
            </w:pPr>
            <w:r w:rsidRPr="00F46287">
              <w:rPr>
                <w:rFonts w:cs="Arial"/>
                <w:szCs w:val="20"/>
              </w:rPr>
              <w:t>Competitive</w:t>
            </w:r>
          </w:p>
        </w:tc>
      </w:tr>
      <w:tr w:rsidR="00F46287" w:rsidRPr="00F46287" w14:paraId="4F199DEC"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3269DEBD" w14:textId="77777777" w:rsidR="00A00B64" w:rsidRPr="00F46287" w:rsidRDefault="00A00B64" w:rsidP="00F46287">
            <w:pPr>
              <w:spacing w:after="0"/>
              <w:rPr>
                <w:rFonts w:cs="Arial"/>
                <w:b/>
                <w:bCs/>
                <w:szCs w:val="20"/>
              </w:rPr>
            </w:pPr>
          </w:p>
        </w:tc>
        <w:tc>
          <w:tcPr>
            <w:tcW w:w="0" w:type="dxa"/>
          </w:tcPr>
          <w:p w14:paraId="2292BAD3"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Warragul</w:t>
            </w:r>
          </w:p>
        </w:tc>
        <w:tc>
          <w:tcPr>
            <w:tcW w:w="0" w:type="dxa"/>
          </w:tcPr>
          <w:p w14:paraId="7215F309"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4960B624"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tcPr>
          <w:p w14:paraId="24CC581A" w14:textId="22B2D154" w:rsidR="00A00B64" w:rsidRPr="00F46287" w:rsidRDefault="00A00B64" w:rsidP="00F46287">
            <w:pPr>
              <w:spacing w:after="0"/>
              <w:rPr>
                <w:rFonts w:cs="Arial"/>
                <w:b/>
                <w:bCs/>
                <w:szCs w:val="20"/>
              </w:rPr>
            </w:pPr>
            <w:r w:rsidRPr="00F46287">
              <w:rPr>
                <w:rFonts w:cs="Arial"/>
                <w:b/>
                <w:bCs/>
                <w:szCs w:val="20"/>
              </w:rPr>
              <w:t>Central Vic</w:t>
            </w:r>
            <w:r w:rsidR="007419F3">
              <w:rPr>
                <w:rFonts w:cs="Arial"/>
                <w:b/>
                <w:bCs/>
                <w:szCs w:val="20"/>
              </w:rPr>
              <w:t>toria</w:t>
            </w:r>
          </w:p>
        </w:tc>
        <w:tc>
          <w:tcPr>
            <w:tcW w:w="0" w:type="dxa"/>
          </w:tcPr>
          <w:p w14:paraId="4E5CB077"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Albury</w:t>
            </w:r>
          </w:p>
        </w:tc>
        <w:tc>
          <w:tcPr>
            <w:tcW w:w="0" w:type="dxa"/>
          </w:tcPr>
          <w:p w14:paraId="54EAA8F6"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4C58F065"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1E385594" w14:textId="77777777" w:rsidR="00A00B64" w:rsidRPr="00F46287" w:rsidRDefault="00A00B64" w:rsidP="00F46287">
            <w:pPr>
              <w:spacing w:after="0"/>
              <w:rPr>
                <w:rFonts w:cs="Arial"/>
                <w:b/>
                <w:bCs/>
                <w:szCs w:val="20"/>
              </w:rPr>
            </w:pPr>
          </w:p>
        </w:tc>
        <w:tc>
          <w:tcPr>
            <w:tcW w:w="0" w:type="dxa"/>
          </w:tcPr>
          <w:p w14:paraId="7237C1B7"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Ballarat</w:t>
            </w:r>
          </w:p>
        </w:tc>
        <w:tc>
          <w:tcPr>
            <w:tcW w:w="0" w:type="dxa"/>
          </w:tcPr>
          <w:p w14:paraId="600F7719"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1C5CF697"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0B0B2544" w14:textId="77777777" w:rsidR="00A00B64" w:rsidRPr="00F46287" w:rsidRDefault="00A00B64" w:rsidP="00F46287">
            <w:pPr>
              <w:spacing w:after="0"/>
              <w:rPr>
                <w:rFonts w:cs="Arial"/>
                <w:b/>
                <w:bCs/>
                <w:szCs w:val="20"/>
              </w:rPr>
            </w:pPr>
          </w:p>
        </w:tc>
        <w:tc>
          <w:tcPr>
            <w:tcW w:w="0" w:type="dxa"/>
          </w:tcPr>
          <w:p w14:paraId="45A15B9F" w14:textId="3E35DA2A"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Maryborough</w:t>
            </w:r>
          </w:p>
        </w:tc>
        <w:tc>
          <w:tcPr>
            <w:tcW w:w="0" w:type="dxa"/>
          </w:tcPr>
          <w:p w14:paraId="5A44CC42" w14:textId="668F3111" w:rsidR="00A00B64" w:rsidRPr="00F46287" w:rsidRDefault="00531606" w:rsidP="00F46287">
            <w:pPr>
              <w:spacing w:after="0" w:line="240" w:lineRule="auto"/>
              <w:rPr>
                <w:rFonts w:cs="Arial"/>
                <w:szCs w:val="20"/>
              </w:rPr>
            </w:pPr>
            <w:r w:rsidRPr="00F46287">
              <w:rPr>
                <w:rFonts w:cs="Arial"/>
                <w:szCs w:val="20"/>
              </w:rPr>
              <w:t>Competitive</w:t>
            </w:r>
          </w:p>
        </w:tc>
      </w:tr>
      <w:tr w:rsidR="00F46287" w:rsidRPr="00F46287" w14:paraId="4FA84705"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356CC6F0" w14:textId="77777777" w:rsidR="00A00B64" w:rsidRPr="00F46287" w:rsidRDefault="00A00B64" w:rsidP="00F46287">
            <w:pPr>
              <w:spacing w:after="0"/>
              <w:rPr>
                <w:rFonts w:cs="Arial"/>
                <w:b/>
                <w:bCs/>
                <w:szCs w:val="20"/>
              </w:rPr>
            </w:pPr>
          </w:p>
        </w:tc>
        <w:tc>
          <w:tcPr>
            <w:tcW w:w="0" w:type="dxa"/>
          </w:tcPr>
          <w:p w14:paraId="2918B4FD"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Shepparton</w:t>
            </w:r>
          </w:p>
        </w:tc>
        <w:tc>
          <w:tcPr>
            <w:tcW w:w="0" w:type="dxa"/>
          </w:tcPr>
          <w:p w14:paraId="33E4128C"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3039CB3C"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tcPr>
          <w:p w14:paraId="05B97392" w14:textId="4115369E" w:rsidR="00A00B64" w:rsidRPr="00F46287" w:rsidRDefault="00A00B64" w:rsidP="00F46287">
            <w:pPr>
              <w:spacing w:after="0"/>
              <w:rPr>
                <w:rFonts w:cs="Arial"/>
                <w:b/>
                <w:bCs/>
                <w:szCs w:val="20"/>
              </w:rPr>
            </w:pPr>
            <w:r w:rsidRPr="00F46287">
              <w:rPr>
                <w:rFonts w:cs="Arial"/>
                <w:b/>
                <w:bCs/>
                <w:szCs w:val="20"/>
              </w:rPr>
              <w:lastRenderedPageBreak/>
              <w:t>S</w:t>
            </w:r>
            <w:r w:rsidR="007419F3">
              <w:rPr>
                <w:rFonts w:cs="Arial"/>
                <w:b/>
                <w:bCs/>
                <w:szCs w:val="20"/>
              </w:rPr>
              <w:t>ou</w:t>
            </w:r>
            <w:r w:rsidRPr="00F46287">
              <w:rPr>
                <w:rFonts w:cs="Arial"/>
                <w:b/>
                <w:bCs/>
                <w:szCs w:val="20"/>
              </w:rPr>
              <w:t>th</w:t>
            </w:r>
            <w:r w:rsidR="007419F3">
              <w:rPr>
                <w:rFonts w:cs="Arial"/>
                <w:b/>
                <w:bCs/>
                <w:szCs w:val="20"/>
              </w:rPr>
              <w:t>er</w:t>
            </w:r>
            <w:r w:rsidRPr="00F46287">
              <w:rPr>
                <w:rFonts w:cs="Arial"/>
                <w:b/>
                <w:bCs/>
                <w:szCs w:val="20"/>
              </w:rPr>
              <w:t>n NSW/West</w:t>
            </w:r>
            <w:r w:rsidR="007419F3">
              <w:rPr>
                <w:rFonts w:cs="Arial"/>
                <w:b/>
                <w:bCs/>
                <w:szCs w:val="20"/>
              </w:rPr>
              <w:t>ern</w:t>
            </w:r>
            <w:r w:rsidRPr="00F46287">
              <w:rPr>
                <w:rFonts w:cs="Arial"/>
                <w:b/>
                <w:bCs/>
                <w:szCs w:val="20"/>
              </w:rPr>
              <w:t xml:space="preserve"> Vic</w:t>
            </w:r>
            <w:r w:rsidR="007419F3">
              <w:rPr>
                <w:rFonts w:cs="Arial"/>
                <w:b/>
                <w:bCs/>
                <w:szCs w:val="20"/>
              </w:rPr>
              <w:t>toria</w:t>
            </w:r>
          </w:p>
        </w:tc>
        <w:tc>
          <w:tcPr>
            <w:tcW w:w="0" w:type="dxa"/>
          </w:tcPr>
          <w:p w14:paraId="369358F8"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Colac</w:t>
            </w:r>
          </w:p>
        </w:tc>
        <w:tc>
          <w:tcPr>
            <w:tcW w:w="0" w:type="dxa"/>
          </w:tcPr>
          <w:p w14:paraId="4DC8ED06" w14:textId="3AA14CF8"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1D64B2E3"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34367E49" w14:textId="77777777" w:rsidR="00A00B64" w:rsidRPr="00F46287" w:rsidRDefault="00A00B64" w:rsidP="00082F8A">
            <w:pPr>
              <w:spacing w:after="0"/>
              <w:jc w:val="center"/>
              <w:rPr>
                <w:rFonts w:cs="Arial"/>
                <w:szCs w:val="20"/>
              </w:rPr>
            </w:pPr>
          </w:p>
        </w:tc>
        <w:tc>
          <w:tcPr>
            <w:tcW w:w="0" w:type="dxa"/>
          </w:tcPr>
          <w:p w14:paraId="299786EB"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Deniliquin</w:t>
            </w:r>
          </w:p>
        </w:tc>
        <w:tc>
          <w:tcPr>
            <w:tcW w:w="0" w:type="dxa"/>
          </w:tcPr>
          <w:p w14:paraId="351FBB64" w14:textId="083E1148" w:rsidR="00A00B64" w:rsidRPr="00F46287" w:rsidRDefault="00531606" w:rsidP="00F46287">
            <w:pPr>
              <w:spacing w:after="0" w:line="240" w:lineRule="auto"/>
              <w:rPr>
                <w:rFonts w:cs="Arial"/>
                <w:szCs w:val="20"/>
              </w:rPr>
            </w:pPr>
            <w:r w:rsidRPr="00F46287">
              <w:rPr>
                <w:rFonts w:cs="Arial"/>
                <w:szCs w:val="20"/>
              </w:rPr>
              <w:t>Competitive</w:t>
            </w:r>
          </w:p>
        </w:tc>
      </w:tr>
      <w:tr w:rsidR="00F46287" w:rsidRPr="00F46287" w14:paraId="1C804DC5"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3B2F73D9" w14:textId="77777777" w:rsidR="00A00B64" w:rsidRPr="00F46287" w:rsidRDefault="00A00B64" w:rsidP="00082F8A">
            <w:pPr>
              <w:spacing w:after="0"/>
              <w:jc w:val="center"/>
              <w:rPr>
                <w:rFonts w:cs="Arial"/>
                <w:szCs w:val="20"/>
              </w:rPr>
            </w:pPr>
          </w:p>
        </w:tc>
        <w:tc>
          <w:tcPr>
            <w:tcW w:w="0" w:type="dxa"/>
          </w:tcPr>
          <w:p w14:paraId="267C2D51"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Griffith</w:t>
            </w:r>
          </w:p>
        </w:tc>
        <w:tc>
          <w:tcPr>
            <w:tcW w:w="0" w:type="dxa"/>
          </w:tcPr>
          <w:p w14:paraId="04E33BF8" w14:textId="59129465"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792F1142"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01344CA5" w14:textId="77777777" w:rsidR="00A00B64" w:rsidRPr="00F46287" w:rsidRDefault="00A00B64" w:rsidP="00082F8A">
            <w:pPr>
              <w:spacing w:after="0"/>
              <w:jc w:val="center"/>
              <w:rPr>
                <w:rFonts w:cs="Arial"/>
                <w:szCs w:val="20"/>
              </w:rPr>
            </w:pPr>
          </w:p>
        </w:tc>
        <w:tc>
          <w:tcPr>
            <w:tcW w:w="0" w:type="dxa"/>
          </w:tcPr>
          <w:p w14:paraId="4E6D13C2"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Hamilton</w:t>
            </w:r>
          </w:p>
        </w:tc>
        <w:tc>
          <w:tcPr>
            <w:tcW w:w="0" w:type="dxa"/>
          </w:tcPr>
          <w:p w14:paraId="499BCDB2" w14:textId="38D3B96A"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524D9A82"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1DB60AE3" w14:textId="77777777" w:rsidR="00A00B64" w:rsidRPr="00F46287" w:rsidRDefault="00A00B64" w:rsidP="00082F8A">
            <w:pPr>
              <w:spacing w:after="0"/>
              <w:jc w:val="center"/>
              <w:rPr>
                <w:rFonts w:cs="Arial"/>
                <w:szCs w:val="20"/>
              </w:rPr>
            </w:pPr>
          </w:p>
        </w:tc>
        <w:tc>
          <w:tcPr>
            <w:tcW w:w="0" w:type="dxa"/>
          </w:tcPr>
          <w:p w14:paraId="6BCC6E52"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Horsham</w:t>
            </w:r>
          </w:p>
        </w:tc>
        <w:tc>
          <w:tcPr>
            <w:tcW w:w="0" w:type="dxa"/>
          </w:tcPr>
          <w:p w14:paraId="1CB1210C" w14:textId="2D7CDF5E"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555E7988"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062D3C34" w14:textId="77777777" w:rsidR="00A00B64" w:rsidRPr="00F46287" w:rsidRDefault="00A00B64" w:rsidP="00082F8A">
            <w:pPr>
              <w:spacing w:after="0"/>
              <w:jc w:val="center"/>
              <w:rPr>
                <w:rFonts w:cs="Arial"/>
                <w:szCs w:val="20"/>
              </w:rPr>
            </w:pPr>
          </w:p>
        </w:tc>
        <w:tc>
          <w:tcPr>
            <w:tcW w:w="0" w:type="dxa"/>
          </w:tcPr>
          <w:p w14:paraId="106B5B9A"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Swan Hill</w:t>
            </w:r>
          </w:p>
        </w:tc>
        <w:tc>
          <w:tcPr>
            <w:tcW w:w="0" w:type="dxa"/>
          </w:tcPr>
          <w:p w14:paraId="01A5EC14" w14:textId="2A91D40B"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7A49984B"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24692E13" w14:textId="77777777" w:rsidR="00A00B64" w:rsidRPr="00F46287" w:rsidRDefault="00A00B64" w:rsidP="00082F8A">
            <w:pPr>
              <w:spacing w:after="0"/>
              <w:jc w:val="center"/>
              <w:rPr>
                <w:rFonts w:cs="Arial"/>
                <w:szCs w:val="20"/>
              </w:rPr>
            </w:pPr>
          </w:p>
        </w:tc>
        <w:tc>
          <w:tcPr>
            <w:tcW w:w="0" w:type="dxa"/>
          </w:tcPr>
          <w:p w14:paraId="721961C5"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Mildura</w:t>
            </w:r>
          </w:p>
        </w:tc>
        <w:tc>
          <w:tcPr>
            <w:tcW w:w="0" w:type="dxa"/>
          </w:tcPr>
          <w:p w14:paraId="52C8BEB9" w14:textId="77777777" w:rsidR="00A00B64" w:rsidRPr="00F46287" w:rsidRDefault="00A00B64" w:rsidP="00F46287">
            <w:pPr>
              <w:spacing w:after="0" w:line="240" w:lineRule="auto"/>
              <w:rPr>
                <w:rFonts w:cs="Arial"/>
                <w:szCs w:val="20"/>
              </w:rPr>
            </w:pPr>
            <w:r w:rsidRPr="00F46287">
              <w:rPr>
                <w:rFonts w:cs="Arial"/>
                <w:szCs w:val="20"/>
              </w:rPr>
              <w:t>Competitive</w:t>
            </w:r>
          </w:p>
        </w:tc>
      </w:tr>
      <w:tr w:rsidR="00F46287" w:rsidRPr="00F46287" w14:paraId="18388BAE"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74647452" w14:textId="77777777" w:rsidR="00A00B64" w:rsidRPr="00F46287" w:rsidRDefault="00A00B64" w:rsidP="00082F8A">
            <w:pPr>
              <w:spacing w:after="0"/>
              <w:jc w:val="center"/>
              <w:rPr>
                <w:rFonts w:cs="Arial"/>
                <w:szCs w:val="20"/>
              </w:rPr>
            </w:pPr>
          </w:p>
        </w:tc>
        <w:tc>
          <w:tcPr>
            <w:tcW w:w="0" w:type="dxa"/>
          </w:tcPr>
          <w:p w14:paraId="4CCF7063" w14:textId="77777777" w:rsidR="00A00B64" w:rsidRPr="00F46287" w:rsidRDefault="00A00B64" w:rsidP="00F46287">
            <w:pPr>
              <w:pStyle w:val="NormalWeb"/>
              <w:spacing w:before="0" w:beforeAutospacing="0" w:after="0" w:afterAutospacing="0"/>
              <w:rPr>
                <w:rFonts w:ascii="Arial" w:hAnsi="Arial" w:cs="Arial"/>
                <w:sz w:val="20"/>
                <w:szCs w:val="20"/>
              </w:rPr>
            </w:pPr>
            <w:r w:rsidRPr="00F46287">
              <w:rPr>
                <w:rFonts w:ascii="Arial" w:hAnsi="Arial" w:cs="Arial"/>
                <w:sz w:val="20"/>
                <w:szCs w:val="20"/>
              </w:rPr>
              <w:t>Wagga Wagga</w:t>
            </w:r>
          </w:p>
        </w:tc>
        <w:tc>
          <w:tcPr>
            <w:tcW w:w="0" w:type="dxa"/>
          </w:tcPr>
          <w:p w14:paraId="4D1776E2" w14:textId="37807AFF" w:rsidR="00A00B64" w:rsidRPr="00F46287" w:rsidRDefault="00DA46D6" w:rsidP="00F46287">
            <w:pPr>
              <w:spacing w:after="0" w:line="240" w:lineRule="auto"/>
              <w:rPr>
                <w:rFonts w:cs="Arial"/>
                <w:szCs w:val="20"/>
              </w:rPr>
            </w:pPr>
            <w:r w:rsidRPr="00F46287">
              <w:rPr>
                <w:rFonts w:cs="Arial"/>
                <w:szCs w:val="20"/>
              </w:rPr>
              <w:t>Non-competitive</w:t>
            </w:r>
          </w:p>
        </w:tc>
      </w:tr>
      <w:tr w:rsidR="00F46287" w:rsidRPr="00F46287" w14:paraId="33EFF2F0"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tcPr>
          <w:p w14:paraId="4C5341F1" w14:textId="65DD2097" w:rsidR="00A00B64" w:rsidRPr="00B617DB" w:rsidRDefault="00D36435" w:rsidP="00F46287">
            <w:pPr>
              <w:keepNext/>
              <w:spacing w:after="0"/>
              <w:rPr>
                <w:rFonts w:cs="Arial"/>
                <w:b/>
                <w:bCs/>
                <w:szCs w:val="20"/>
              </w:rPr>
            </w:pPr>
            <w:r w:rsidRPr="00B617DB">
              <w:rPr>
                <w:rFonts w:cs="Arial"/>
                <w:b/>
                <w:bCs/>
                <w:szCs w:val="20"/>
              </w:rPr>
              <w:t>South</w:t>
            </w:r>
            <w:r w:rsidR="007419F3">
              <w:rPr>
                <w:rFonts w:cs="Arial"/>
                <w:b/>
                <w:bCs/>
                <w:szCs w:val="20"/>
              </w:rPr>
              <w:t xml:space="preserve"> W</w:t>
            </w:r>
            <w:r w:rsidRPr="00B617DB">
              <w:rPr>
                <w:rFonts w:cs="Arial"/>
                <w:b/>
                <w:bCs/>
                <w:szCs w:val="20"/>
              </w:rPr>
              <w:t>est</w:t>
            </w:r>
          </w:p>
          <w:p w14:paraId="31158914" w14:textId="6E47187E" w:rsidR="00A00B64" w:rsidRPr="00B617DB" w:rsidRDefault="00A00B64" w:rsidP="00F46287">
            <w:pPr>
              <w:keepNext/>
              <w:spacing w:after="0"/>
              <w:rPr>
                <w:rFonts w:cs="Arial"/>
                <w:b/>
                <w:bCs/>
                <w:szCs w:val="20"/>
              </w:rPr>
            </w:pPr>
            <w:r w:rsidRPr="00B617DB">
              <w:rPr>
                <w:rFonts w:cs="Arial"/>
                <w:b/>
                <w:bCs/>
                <w:szCs w:val="20"/>
              </w:rPr>
              <w:t>W</w:t>
            </w:r>
            <w:r w:rsidR="00E34C85">
              <w:rPr>
                <w:rFonts w:cs="Arial"/>
                <w:b/>
                <w:bCs/>
                <w:szCs w:val="20"/>
              </w:rPr>
              <w:t>A</w:t>
            </w:r>
          </w:p>
        </w:tc>
        <w:tc>
          <w:tcPr>
            <w:tcW w:w="0" w:type="dxa"/>
          </w:tcPr>
          <w:p w14:paraId="22388588"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Bridgetown</w:t>
            </w:r>
          </w:p>
        </w:tc>
        <w:tc>
          <w:tcPr>
            <w:tcW w:w="0" w:type="dxa"/>
          </w:tcPr>
          <w:p w14:paraId="6D676DE6" w14:textId="01463ECE"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7C8D866B"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1747A7B3" w14:textId="77777777" w:rsidR="00A00B64" w:rsidRPr="00B617DB" w:rsidRDefault="00A00B64" w:rsidP="00F46287">
            <w:pPr>
              <w:keepNext/>
              <w:spacing w:after="0"/>
              <w:rPr>
                <w:rFonts w:cs="Arial"/>
                <w:b/>
                <w:bCs/>
                <w:szCs w:val="20"/>
              </w:rPr>
            </w:pPr>
          </w:p>
        </w:tc>
        <w:tc>
          <w:tcPr>
            <w:tcW w:w="0" w:type="dxa"/>
          </w:tcPr>
          <w:p w14:paraId="32F92E95"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Bunbury</w:t>
            </w:r>
          </w:p>
        </w:tc>
        <w:tc>
          <w:tcPr>
            <w:tcW w:w="0" w:type="dxa"/>
          </w:tcPr>
          <w:p w14:paraId="1C7CD895" w14:textId="77777777" w:rsidR="00A00B64" w:rsidRPr="00F46287" w:rsidRDefault="00A00B64" w:rsidP="00F46287">
            <w:pPr>
              <w:keepNext/>
              <w:spacing w:after="0" w:line="240" w:lineRule="auto"/>
              <w:rPr>
                <w:rFonts w:cs="Arial"/>
                <w:szCs w:val="20"/>
              </w:rPr>
            </w:pPr>
            <w:r w:rsidRPr="00F46287">
              <w:rPr>
                <w:rFonts w:cs="Arial"/>
                <w:szCs w:val="20"/>
              </w:rPr>
              <w:t>Competitive</w:t>
            </w:r>
          </w:p>
        </w:tc>
      </w:tr>
      <w:tr w:rsidR="00F46287" w:rsidRPr="00F46287" w14:paraId="5083D1B6"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5C6AC336" w14:textId="77777777" w:rsidR="00A00B64" w:rsidRPr="0029539C" w:rsidRDefault="00A00B64" w:rsidP="00F46287">
            <w:pPr>
              <w:keepNext/>
              <w:spacing w:after="0"/>
              <w:rPr>
                <w:rFonts w:cs="Arial"/>
                <w:b/>
                <w:bCs/>
                <w:szCs w:val="20"/>
              </w:rPr>
            </w:pPr>
          </w:p>
        </w:tc>
        <w:tc>
          <w:tcPr>
            <w:tcW w:w="0" w:type="dxa"/>
          </w:tcPr>
          <w:p w14:paraId="06CFD0B4"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Katanning</w:t>
            </w:r>
          </w:p>
        </w:tc>
        <w:tc>
          <w:tcPr>
            <w:tcW w:w="0" w:type="dxa"/>
          </w:tcPr>
          <w:p w14:paraId="6D8633F3" w14:textId="7EE406DA"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70024C9A"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6C110443" w14:textId="77777777" w:rsidR="00A00B64" w:rsidRPr="0029539C" w:rsidRDefault="00A00B64" w:rsidP="00F46287">
            <w:pPr>
              <w:keepNext/>
              <w:spacing w:after="0"/>
              <w:rPr>
                <w:rFonts w:cs="Arial"/>
                <w:b/>
                <w:bCs/>
                <w:szCs w:val="20"/>
              </w:rPr>
            </w:pPr>
          </w:p>
        </w:tc>
        <w:tc>
          <w:tcPr>
            <w:tcW w:w="0" w:type="dxa"/>
          </w:tcPr>
          <w:p w14:paraId="63DD73AD"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Merredin</w:t>
            </w:r>
          </w:p>
        </w:tc>
        <w:tc>
          <w:tcPr>
            <w:tcW w:w="0" w:type="dxa"/>
          </w:tcPr>
          <w:p w14:paraId="41AB9F12" w14:textId="0CE7C4DF"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2DCE6D21"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2341B2B2" w14:textId="77777777" w:rsidR="00A00B64" w:rsidRPr="0029539C" w:rsidRDefault="00A00B64" w:rsidP="00F46287">
            <w:pPr>
              <w:keepNext/>
              <w:spacing w:after="0"/>
              <w:rPr>
                <w:rFonts w:cs="Arial"/>
                <w:b/>
                <w:bCs/>
                <w:szCs w:val="20"/>
              </w:rPr>
            </w:pPr>
          </w:p>
        </w:tc>
        <w:tc>
          <w:tcPr>
            <w:tcW w:w="0" w:type="dxa"/>
          </w:tcPr>
          <w:p w14:paraId="2A712F28"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Narrogin</w:t>
            </w:r>
          </w:p>
        </w:tc>
        <w:tc>
          <w:tcPr>
            <w:tcW w:w="0" w:type="dxa"/>
          </w:tcPr>
          <w:p w14:paraId="532AD8DD" w14:textId="32785EC7"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1FD91211"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633D5278" w14:textId="77777777" w:rsidR="00A00B64" w:rsidRPr="0029539C" w:rsidRDefault="00A00B64" w:rsidP="00F46287">
            <w:pPr>
              <w:keepNext/>
              <w:spacing w:after="0"/>
              <w:rPr>
                <w:rFonts w:cs="Arial"/>
                <w:b/>
                <w:bCs/>
                <w:szCs w:val="20"/>
              </w:rPr>
            </w:pPr>
          </w:p>
        </w:tc>
        <w:tc>
          <w:tcPr>
            <w:tcW w:w="0" w:type="dxa"/>
          </w:tcPr>
          <w:p w14:paraId="4291AA5F"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Northam</w:t>
            </w:r>
          </w:p>
        </w:tc>
        <w:tc>
          <w:tcPr>
            <w:tcW w:w="0" w:type="dxa"/>
          </w:tcPr>
          <w:p w14:paraId="6941E41D" w14:textId="4ED8C1DF"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781660A2"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val="restart"/>
          </w:tcPr>
          <w:p w14:paraId="6596CE5F" w14:textId="77777777" w:rsidR="00A00B64" w:rsidRPr="00B617DB" w:rsidRDefault="00A00B64" w:rsidP="00F46287">
            <w:pPr>
              <w:keepNext/>
              <w:spacing w:after="0"/>
              <w:rPr>
                <w:rFonts w:cs="Arial"/>
                <w:b/>
                <w:bCs/>
                <w:szCs w:val="20"/>
              </w:rPr>
            </w:pPr>
            <w:r w:rsidRPr="00B617DB">
              <w:rPr>
                <w:rFonts w:cs="Arial"/>
                <w:b/>
                <w:bCs/>
                <w:szCs w:val="20"/>
              </w:rPr>
              <w:t>Ungrouped</w:t>
            </w:r>
          </w:p>
        </w:tc>
        <w:tc>
          <w:tcPr>
            <w:tcW w:w="0" w:type="dxa"/>
          </w:tcPr>
          <w:p w14:paraId="6577F531"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Alice Springs</w:t>
            </w:r>
          </w:p>
        </w:tc>
        <w:tc>
          <w:tcPr>
            <w:tcW w:w="0" w:type="dxa"/>
          </w:tcPr>
          <w:p w14:paraId="46063B1B" w14:textId="6C927016"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1F71A332"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0D86214A" w14:textId="77777777" w:rsidR="00A00B64" w:rsidRPr="00F46287" w:rsidRDefault="00A00B64" w:rsidP="00F46287">
            <w:pPr>
              <w:keepNext/>
              <w:spacing w:after="0"/>
              <w:rPr>
                <w:rFonts w:cs="Arial"/>
                <w:szCs w:val="20"/>
              </w:rPr>
            </w:pPr>
          </w:p>
        </w:tc>
        <w:tc>
          <w:tcPr>
            <w:tcW w:w="0" w:type="dxa"/>
          </w:tcPr>
          <w:p w14:paraId="6DB7BFDD"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Broken Hill</w:t>
            </w:r>
          </w:p>
        </w:tc>
        <w:tc>
          <w:tcPr>
            <w:tcW w:w="0" w:type="dxa"/>
          </w:tcPr>
          <w:p w14:paraId="3D487307" w14:textId="48E2E14C"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10B2DF87"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658E6BDC" w14:textId="77777777" w:rsidR="00A00B64" w:rsidRPr="00F46287" w:rsidRDefault="00A00B64" w:rsidP="00F46287">
            <w:pPr>
              <w:keepNext/>
              <w:spacing w:after="0"/>
              <w:rPr>
                <w:rFonts w:cs="Arial"/>
                <w:szCs w:val="20"/>
              </w:rPr>
            </w:pPr>
          </w:p>
        </w:tc>
        <w:tc>
          <w:tcPr>
            <w:tcW w:w="0" w:type="dxa"/>
          </w:tcPr>
          <w:p w14:paraId="23CCC7B1"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Canberra</w:t>
            </w:r>
          </w:p>
        </w:tc>
        <w:tc>
          <w:tcPr>
            <w:tcW w:w="0" w:type="dxa"/>
          </w:tcPr>
          <w:p w14:paraId="021592F1" w14:textId="77777777" w:rsidR="00A00B64" w:rsidRPr="00F46287" w:rsidRDefault="00A00B64" w:rsidP="00F46287">
            <w:pPr>
              <w:keepNext/>
              <w:spacing w:after="0" w:line="240" w:lineRule="auto"/>
              <w:rPr>
                <w:rFonts w:cs="Arial"/>
                <w:szCs w:val="20"/>
              </w:rPr>
            </w:pPr>
            <w:r w:rsidRPr="00F46287">
              <w:rPr>
                <w:rFonts w:cs="Arial"/>
                <w:szCs w:val="20"/>
              </w:rPr>
              <w:t>Competitive</w:t>
            </w:r>
          </w:p>
        </w:tc>
      </w:tr>
      <w:tr w:rsidR="00F46287" w:rsidRPr="00F46287" w14:paraId="10FC66FD"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3935E575" w14:textId="77777777" w:rsidR="00A00B64" w:rsidRPr="00F46287" w:rsidRDefault="00A00B64" w:rsidP="00F46287">
            <w:pPr>
              <w:keepNext/>
              <w:spacing w:after="0"/>
              <w:rPr>
                <w:rFonts w:cs="Arial"/>
                <w:szCs w:val="20"/>
              </w:rPr>
            </w:pPr>
          </w:p>
        </w:tc>
        <w:tc>
          <w:tcPr>
            <w:tcW w:w="0" w:type="dxa"/>
          </w:tcPr>
          <w:p w14:paraId="63B098D0"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Carnarvon</w:t>
            </w:r>
          </w:p>
        </w:tc>
        <w:tc>
          <w:tcPr>
            <w:tcW w:w="0" w:type="dxa"/>
          </w:tcPr>
          <w:p w14:paraId="08E33F34" w14:textId="42E9EA44"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256BB71E"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3E07BB1F" w14:textId="77777777" w:rsidR="00A00B64" w:rsidRPr="00F46287" w:rsidRDefault="00A00B64" w:rsidP="00F46287">
            <w:pPr>
              <w:keepNext/>
              <w:spacing w:after="0"/>
              <w:rPr>
                <w:rFonts w:cs="Arial"/>
                <w:szCs w:val="20"/>
              </w:rPr>
            </w:pPr>
          </w:p>
        </w:tc>
        <w:tc>
          <w:tcPr>
            <w:tcW w:w="0" w:type="dxa"/>
          </w:tcPr>
          <w:p w14:paraId="49A26B7A"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Esperance</w:t>
            </w:r>
          </w:p>
        </w:tc>
        <w:tc>
          <w:tcPr>
            <w:tcW w:w="0" w:type="dxa"/>
          </w:tcPr>
          <w:p w14:paraId="770211A4" w14:textId="22CCFB63"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746943DB"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305CBB2A" w14:textId="77777777" w:rsidR="00A00B64" w:rsidRPr="00F46287" w:rsidRDefault="00A00B64" w:rsidP="00F46287">
            <w:pPr>
              <w:keepNext/>
              <w:spacing w:after="0"/>
              <w:rPr>
                <w:rFonts w:cs="Arial"/>
                <w:szCs w:val="20"/>
              </w:rPr>
            </w:pPr>
          </w:p>
        </w:tc>
        <w:tc>
          <w:tcPr>
            <w:tcW w:w="0" w:type="dxa"/>
          </w:tcPr>
          <w:p w14:paraId="7084F5C0"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Kalgoorlie</w:t>
            </w:r>
          </w:p>
        </w:tc>
        <w:tc>
          <w:tcPr>
            <w:tcW w:w="0" w:type="dxa"/>
          </w:tcPr>
          <w:p w14:paraId="37D4A922" w14:textId="2CD4BFC9" w:rsidR="00A00B64" w:rsidRPr="00F46287" w:rsidRDefault="00DA46D6" w:rsidP="00F46287">
            <w:pPr>
              <w:keepNext/>
              <w:spacing w:after="0" w:line="240" w:lineRule="auto"/>
              <w:rPr>
                <w:rFonts w:cs="Arial"/>
                <w:szCs w:val="20"/>
              </w:rPr>
            </w:pPr>
            <w:r w:rsidRPr="00F46287">
              <w:rPr>
                <w:rFonts w:cs="Arial"/>
                <w:szCs w:val="20"/>
              </w:rPr>
              <w:t>Non-competitive</w:t>
            </w:r>
          </w:p>
        </w:tc>
      </w:tr>
      <w:tr w:rsidR="00F46287" w:rsidRPr="00F46287" w14:paraId="74F0277F" w14:textId="77777777" w:rsidTr="00246E23">
        <w:trPr>
          <w:cnfStyle w:val="000000010000" w:firstRow="0" w:lastRow="0" w:firstColumn="0" w:lastColumn="0" w:oddVBand="0" w:evenVBand="0" w:oddHBand="0" w:evenHBand="1" w:firstRowFirstColumn="0" w:firstRowLastColumn="0" w:lastRowFirstColumn="0" w:lastRowLastColumn="0"/>
          <w:trHeight w:val="251"/>
        </w:trPr>
        <w:tc>
          <w:tcPr>
            <w:tcW w:w="0" w:type="dxa"/>
            <w:vMerge/>
          </w:tcPr>
          <w:p w14:paraId="055D25D8" w14:textId="77777777" w:rsidR="00A00B64" w:rsidRPr="00F46287" w:rsidRDefault="00A00B64" w:rsidP="00F46287">
            <w:pPr>
              <w:keepNext/>
              <w:spacing w:after="0"/>
              <w:rPr>
                <w:rFonts w:cs="Arial"/>
                <w:szCs w:val="20"/>
              </w:rPr>
            </w:pPr>
          </w:p>
        </w:tc>
        <w:tc>
          <w:tcPr>
            <w:tcW w:w="0" w:type="dxa"/>
          </w:tcPr>
          <w:p w14:paraId="6181778E"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Mount Isa</w:t>
            </w:r>
          </w:p>
        </w:tc>
        <w:tc>
          <w:tcPr>
            <w:tcW w:w="0" w:type="dxa"/>
          </w:tcPr>
          <w:p w14:paraId="3ED4633E" w14:textId="77777777" w:rsidR="00A00B64" w:rsidRPr="00F46287" w:rsidRDefault="00A00B64" w:rsidP="00F46287">
            <w:pPr>
              <w:keepNext/>
              <w:spacing w:after="0" w:line="240" w:lineRule="auto"/>
              <w:rPr>
                <w:rFonts w:cs="Arial"/>
                <w:szCs w:val="20"/>
              </w:rPr>
            </w:pPr>
            <w:r w:rsidRPr="00F46287">
              <w:rPr>
                <w:rFonts w:cs="Arial"/>
                <w:szCs w:val="20"/>
              </w:rPr>
              <w:t>Competitive</w:t>
            </w:r>
          </w:p>
        </w:tc>
      </w:tr>
      <w:tr w:rsidR="00F46287" w:rsidRPr="00F46287" w14:paraId="37455A8D" w14:textId="77777777" w:rsidTr="00246E23">
        <w:trPr>
          <w:cnfStyle w:val="000000100000" w:firstRow="0" w:lastRow="0" w:firstColumn="0" w:lastColumn="0" w:oddVBand="0" w:evenVBand="0" w:oddHBand="1" w:evenHBand="0" w:firstRowFirstColumn="0" w:firstRowLastColumn="0" w:lastRowFirstColumn="0" w:lastRowLastColumn="0"/>
          <w:trHeight w:val="251"/>
        </w:trPr>
        <w:tc>
          <w:tcPr>
            <w:tcW w:w="0" w:type="dxa"/>
            <w:vMerge/>
          </w:tcPr>
          <w:p w14:paraId="3C283B82" w14:textId="77777777" w:rsidR="00A00B64" w:rsidRPr="00F46287" w:rsidRDefault="00A00B64" w:rsidP="00F46287">
            <w:pPr>
              <w:keepNext/>
              <w:spacing w:after="0"/>
              <w:rPr>
                <w:rFonts w:cs="Arial"/>
                <w:szCs w:val="20"/>
              </w:rPr>
            </w:pPr>
          </w:p>
        </w:tc>
        <w:tc>
          <w:tcPr>
            <w:tcW w:w="0" w:type="dxa"/>
          </w:tcPr>
          <w:p w14:paraId="6E7FB42E" w14:textId="77777777" w:rsidR="00A00B64" w:rsidRPr="00F46287" w:rsidRDefault="00A00B64" w:rsidP="00F46287">
            <w:pPr>
              <w:pStyle w:val="NormalWeb"/>
              <w:keepNext/>
              <w:spacing w:before="0" w:beforeAutospacing="0" w:after="0" w:afterAutospacing="0"/>
              <w:rPr>
                <w:rFonts w:ascii="Arial" w:hAnsi="Arial" w:cs="Arial"/>
                <w:sz w:val="20"/>
                <w:szCs w:val="20"/>
              </w:rPr>
            </w:pPr>
            <w:r w:rsidRPr="00F46287">
              <w:rPr>
                <w:rFonts w:ascii="Arial" w:hAnsi="Arial" w:cs="Arial"/>
                <w:sz w:val="20"/>
                <w:szCs w:val="20"/>
              </w:rPr>
              <w:t>Murwillumbah</w:t>
            </w:r>
          </w:p>
        </w:tc>
        <w:tc>
          <w:tcPr>
            <w:tcW w:w="0" w:type="dxa"/>
          </w:tcPr>
          <w:p w14:paraId="34302D44" w14:textId="67CEEE2E" w:rsidR="00A00B64" w:rsidRPr="00F46287" w:rsidRDefault="00531606" w:rsidP="00F46287">
            <w:pPr>
              <w:keepNext/>
              <w:spacing w:after="0" w:line="240" w:lineRule="auto"/>
              <w:rPr>
                <w:rFonts w:cs="Arial"/>
                <w:szCs w:val="20"/>
              </w:rPr>
            </w:pPr>
            <w:r w:rsidRPr="00F46287">
              <w:rPr>
                <w:rFonts w:cs="Arial"/>
                <w:szCs w:val="20"/>
              </w:rPr>
              <w:t>Competitive</w:t>
            </w:r>
          </w:p>
        </w:tc>
      </w:tr>
    </w:tbl>
    <w:p w14:paraId="3FB89528" w14:textId="79C6F907" w:rsidR="00E03073" w:rsidRPr="003D12A6" w:rsidRDefault="00E03073" w:rsidP="00B617DB">
      <w:pPr>
        <w:pStyle w:val="Paragraphbeforelist"/>
        <w:spacing w:before="240"/>
      </w:pPr>
      <w:r w:rsidRPr="003D12A6">
        <w:t>Notes:</w:t>
      </w:r>
    </w:p>
    <w:p w14:paraId="2E46EC68" w14:textId="7EC4B738" w:rsidR="003732D2" w:rsidRPr="00221C97" w:rsidRDefault="003732D2" w:rsidP="00B617DB">
      <w:pPr>
        <w:pStyle w:val="Bulletlevel1"/>
      </w:pPr>
      <w:r w:rsidRPr="00221C97">
        <w:t>This assessment is preliminary.</w:t>
      </w:r>
    </w:p>
    <w:p w14:paraId="796CDD52" w14:textId="7FE9B317" w:rsidR="00670DDF" w:rsidRDefault="000B6EBA" w:rsidP="00B617DB">
      <w:pPr>
        <w:pStyle w:val="Bulletlevel1"/>
      </w:pPr>
      <w:r>
        <w:t>For the purposes of this table, we have only considered competing demand for spectrum from AM conversion in same or adjacent licence areas, and have not considered</w:t>
      </w:r>
      <w:r w:rsidR="00670DDF">
        <w:t xml:space="preserve"> </w:t>
      </w:r>
      <w:r w:rsidR="00E03073" w:rsidRPr="00670DDF">
        <w:t>possible FM demand for other purposes</w:t>
      </w:r>
      <w:r w:rsidRPr="00670DDF">
        <w:t xml:space="preserve">, such as </w:t>
      </w:r>
      <w:r w:rsidR="00E03073" w:rsidRPr="00670DDF">
        <w:t>demand for conversion of national</w:t>
      </w:r>
      <w:r w:rsidR="00670DDF">
        <w:t xml:space="preserve"> and community services</w:t>
      </w:r>
      <w:r w:rsidR="006B2F7C">
        <w:t>.</w:t>
      </w:r>
    </w:p>
    <w:p w14:paraId="4B487E20" w14:textId="6F382ED9" w:rsidR="00670DDF" w:rsidRDefault="00670DDF" w:rsidP="00B617DB">
      <w:pPr>
        <w:pStyle w:val="Bulletlevel1"/>
      </w:pPr>
      <w:r>
        <w:t>S</w:t>
      </w:r>
      <w:r w:rsidRPr="00670DDF">
        <w:t xml:space="preserve">olus </w:t>
      </w:r>
      <w:bookmarkStart w:id="37" w:name="_Hlk87014163"/>
      <w:r w:rsidRPr="00670DDF">
        <w:t>licence areas with greater than 30</w:t>
      </w:r>
      <w:r w:rsidR="00F46287">
        <w:t>%</w:t>
      </w:r>
      <w:r w:rsidRPr="00670DDF">
        <w:t xml:space="preserve"> overlap </w:t>
      </w:r>
      <w:bookmarkEnd w:id="37"/>
      <w:r w:rsidRPr="00670DDF">
        <w:t>are considered competitive</w:t>
      </w:r>
      <w:r w:rsidR="0081172E">
        <w:t> </w:t>
      </w:r>
      <w:r w:rsidRPr="00670DDF">
        <w:t>markets</w:t>
      </w:r>
      <w:r w:rsidR="006B2F7C">
        <w:t>.</w:t>
      </w:r>
    </w:p>
    <w:p w14:paraId="3B175E76" w14:textId="531E2088" w:rsidR="00670DDF" w:rsidRDefault="00670DDF" w:rsidP="00B617DB">
      <w:pPr>
        <w:pStyle w:val="Bulletlevel1"/>
      </w:pPr>
      <w:r>
        <w:t xml:space="preserve">The table incudes </w:t>
      </w:r>
      <w:r w:rsidRPr="00670DDF">
        <w:t xml:space="preserve">solus licence areas with AM commercial </w:t>
      </w:r>
      <w:r w:rsidR="00F217B5">
        <w:t xml:space="preserve">services </w:t>
      </w:r>
      <w:r w:rsidRPr="00670DDF">
        <w:t xml:space="preserve">where </w:t>
      </w:r>
      <w:r w:rsidR="00F46287">
        <w:t xml:space="preserve">a </w:t>
      </w:r>
      <w:r w:rsidRPr="00670DDF">
        <w:t xml:space="preserve">request </w:t>
      </w:r>
      <w:r w:rsidR="00F46287">
        <w:t xml:space="preserve">was </w:t>
      </w:r>
      <w:r w:rsidRPr="00670DDF">
        <w:t>not made or withdrawn</w:t>
      </w:r>
      <w:r w:rsidR="006B2F7C">
        <w:t>.</w:t>
      </w:r>
    </w:p>
    <w:p w14:paraId="3D763C43" w14:textId="4E4A5F2F" w:rsidR="00E03073" w:rsidRPr="00670DDF" w:rsidRDefault="00E03073" w:rsidP="00B617DB">
      <w:pPr>
        <w:pStyle w:val="Figureheading"/>
      </w:pPr>
      <w:r w:rsidRPr="00670DDF">
        <w:br w:type="page"/>
      </w:r>
      <w:r w:rsidRPr="00670DDF">
        <w:lastRenderedPageBreak/>
        <w:t xml:space="preserve">Nominal </w:t>
      </w:r>
      <w:r w:rsidR="00F46287">
        <w:t>g</w:t>
      </w:r>
      <w:r w:rsidRPr="00670DDF">
        <w:t xml:space="preserve">roupings </w:t>
      </w:r>
      <w:r w:rsidR="00F46287">
        <w:t>m</w:t>
      </w:r>
      <w:r w:rsidRPr="00670DDF">
        <w:t>ap</w:t>
      </w:r>
    </w:p>
    <w:p w14:paraId="7BF2B605" w14:textId="7C6D6374" w:rsidR="00E03073" w:rsidRDefault="00184C35" w:rsidP="00E03073">
      <w:pPr>
        <w:spacing w:after="160" w:line="259" w:lineRule="auto"/>
        <w:rPr>
          <w:rFonts w:cs="Arial"/>
          <w:color w:val="353D3D"/>
          <w:szCs w:val="20"/>
        </w:rPr>
      </w:pPr>
      <w:r>
        <w:rPr>
          <w:noProof/>
        </w:rPr>
        <w:drawing>
          <wp:inline distT="0" distB="0" distL="0" distR="0" wp14:anchorId="1A575429" wp14:editId="06DD7D96">
            <wp:extent cx="4871085" cy="3573780"/>
            <wp:effectExtent l="0" t="0" r="5715" b="7620"/>
            <wp:docPr id="4" name="Picture 4" descr="Map of Australia showing nominal groupings. It is an overview of the close-up maps following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p of Australia showing nominal groupings. It is an overview of the close-up maps following i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871085" cy="3573780"/>
                    </a:xfrm>
                    <a:prstGeom prst="rect">
                      <a:avLst/>
                    </a:prstGeom>
                    <a:noFill/>
                    <a:ln>
                      <a:noFill/>
                    </a:ln>
                  </pic:spPr>
                </pic:pic>
              </a:graphicData>
            </a:graphic>
          </wp:inline>
        </w:drawing>
      </w:r>
    </w:p>
    <w:p w14:paraId="11805A3A" w14:textId="77777777" w:rsidR="00721B01" w:rsidRPr="0023232F" w:rsidRDefault="00721B01" w:rsidP="0023232F">
      <w:pPr>
        <w:pStyle w:val="Paragraphbeforelist"/>
        <w:rPr>
          <w:b/>
          <w:bCs/>
        </w:rPr>
      </w:pPr>
      <w:r w:rsidRPr="0023232F">
        <w:rPr>
          <w:b/>
          <w:bCs/>
        </w:rPr>
        <w:t xml:space="preserve">Key: </w:t>
      </w:r>
    </w:p>
    <w:p w14:paraId="293DDC4C" w14:textId="6E7C4E75" w:rsidR="00E03073" w:rsidRDefault="00E03073" w:rsidP="0023232F">
      <w:pPr>
        <w:pStyle w:val="Bulletlevel1"/>
      </w:pPr>
      <w:r w:rsidRPr="00221C97">
        <w:rPr>
          <w:b/>
          <w:bCs/>
        </w:rPr>
        <w:t>Blue licence areas</w:t>
      </w:r>
      <w:r>
        <w:t xml:space="preserve"> –</w:t>
      </w:r>
      <w:r w:rsidR="00657CD9">
        <w:t xml:space="preserve"> </w:t>
      </w:r>
      <w:r w:rsidR="00B43203">
        <w:t xml:space="preserve">licence areas where we have received a conversion </w:t>
      </w:r>
      <w:r w:rsidR="003732D2">
        <w:t>request,</w:t>
      </w:r>
      <w:r w:rsidR="00B43203">
        <w:t xml:space="preserve"> but</w:t>
      </w:r>
      <w:r>
        <w:t xml:space="preserve"> no freq</w:t>
      </w:r>
      <w:r w:rsidR="00B43203">
        <w:t xml:space="preserve">uency </w:t>
      </w:r>
      <w:r w:rsidR="00F62C87">
        <w:t xml:space="preserve">selection </w:t>
      </w:r>
      <w:r w:rsidR="00B43203">
        <w:t>has been</w:t>
      </w:r>
      <w:r>
        <w:t xml:space="preserve"> </w:t>
      </w:r>
      <w:r w:rsidR="00F62C87">
        <w:t>confirmed</w:t>
      </w:r>
      <w:r w:rsidR="00721B01">
        <w:t>.</w:t>
      </w:r>
      <w:r w:rsidR="00F62C87">
        <w:t xml:space="preserve"> </w:t>
      </w:r>
    </w:p>
    <w:p w14:paraId="45391A76" w14:textId="37D023B1" w:rsidR="00E03073" w:rsidRDefault="00E03073" w:rsidP="0023232F">
      <w:pPr>
        <w:pStyle w:val="Bulletlevel1"/>
      </w:pPr>
      <w:r w:rsidRPr="00221C97">
        <w:rPr>
          <w:b/>
          <w:bCs/>
        </w:rPr>
        <w:t>Orange licence areas</w:t>
      </w:r>
      <w:r>
        <w:t xml:space="preserve"> –</w:t>
      </w:r>
      <w:r w:rsidR="00721B01">
        <w:t xml:space="preserve"> </w:t>
      </w:r>
      <w:r>
        <w:t>solus</w:t>
      </w:r>
      <w:r w:rsidR="0042039D">
        <w:t xml:space="preserve"> licence areas where we have not received an</w:t>
      </w:r>
      <w:r>
        <w:t xml:space="preserve"> expression of interest</w:t>
      </w:r>
      <w:r w:rsidR="00721B01">
        <w:t>.</w:t>
      </w:r>
    </w:p>
    <w:p w14:paraId="3AB90C51" w14:textId="090D4FAB" w:rsidR="00E03073" w:rsidRDefault="00E03073" w:rsidP="0023232F">
      <w:pPr>
        <w:pStyle w:val="Bulletlevel1"/>
      </w:pPr>
      <w:r w:rsidRPr="00221C97">
        <w:rPr>
          <w:b/>
          <w:bCs/>
        </w:rPr>
        <w:t>Red licence areas</w:t>
      </w:r>
      <w:r>
        <w:t xml:space="preserve"> –</w:t>
      </w:r>
      <w:r w:rsidR="00657CD9">
        <w:t xml:space="preserve"> </w:t>
      </w:r>
      <w:r>
        <w:t>competitive markets</w:t>
      </w:r>
      <w:r w:rsidR="0042039D">
        <w:t xml:space="preserve"> with AM services</w:t>
      </w:r>
      <w:r w:rsidR="0072154E">
        <w:t xml:space="preserve">, including solus </w:t>
      </w:r>
      <w:r w:rsidR="0072154E" w:rsidRPr="0072154E">
        <w:t>licence areas with greater than 30</w:t>
      </w:r>
      <w:r w:rsidR="00721B01">
        <w:t>%</w:t>
      </w:r>
      <w:r w:rsidR="0072154E" w:rsidRPr="0072154E">
        <w:t xml:space="preserve"> overlap</w:t>
      </w:r>
      <w:r w:rsidR="00657CD9">
        <w:t>.</w:t>
      </w:r>
    </w:p>
    <w:p w14:paraId="52D73A4B" w14:textId="7E081F64" w:rsidR="00E03073" w:rsidRDefault="0023232F" w:rsidP="0023232F">
      <w:pPr>
        <w:pStyle w:val="Bulletlevel1"/>
      </w:pPr>
      <w:r>
        <w:rPr>
          <w:b/>
          <w:bCs/>
        </w:rPr>
        <w:t>Grey outlined</w:t>
      </w:r>
      <w:r w:rsidR="00E03073" w:rsidRPr="00221C97">
        <w:rPr>
          <w:b/>
          <w:bCs/>
        </w:rPr>
        <w:t xml:space="preserve"> polygons</w:t>
      </w:r>
      <w:r w:rsidR="00E03073">
        <w:t xml:space="preserve"> </w:t>
      </w:r>
      <w:r w:rsidR="0042039D">
        <w:t xml:space="preserve">– these </w:t>
      </w:r>
      <w:r w:rsidR="003732D2">
        <w:t>are</w:t>
      </w:r>
      <w:r w:rsidR="00E03073">
        <w:t xml:space="preserve"> nominal interdependency grouping</w:t>
      </w:r>
      <w:r w:rsidR="0042039D">
        <w:t>s.</w:t>
      </w:r>
      <w:r w:rsidR="003732D2">
        <w:t xml:space="preserve"> </w:t>
      </w:r>
      <w:r w:rsidR="00420258" w:rsidRPr="00F82311">
        <w:t>Licence areas shown outside these polygons are ungrouped</w:t>
      </w:r>
      <w:r w:rsidR="0076363D" w:rsidRPr="00F82311">
        <w:t xml:space="preserve">. </w:t>
      </w:r>
      <w:r w:rsidR="003732D2">
        <w:t>Each of these is</w:t>
      </w:r>
      <w:r w:rsidR="0042039D">
        <w:t xml:space="preserve"> shown in greater detail </w:t>
      </w:r>
      <w:r w:rsidR="00721B01">
        <w:t>in the following maps.</w:t>
      </w:r>
    </w:p>
    <w:p w14:paraId="25E428CA" w14:textId="77777777" w:rsidR="00E03073" w:rsidRDefault="00E03073" w:rsidP="00E03073">
      <w:pPr>
        <w:spacing w:after="160" w:line="259" w:lineRule="auto"/>
        <w:rPr>
          <w:rFonts w:cs="Arial"/>
          <w:color w:val="353D3D"/>
          <w:szCs w:val="20"/>
        </w:rPr>
      </w:pPr>
      <w:r>
        <w:rPr>
          <w:rFonts w:cs="Arial"/>
          <w:color w:val="353D3D"/>
          <w:szCs w:val="20"/>
        </w:rPr>
        <w:br w:type="page"/>
      </w:r>
    </w:p>
    <w:p w14:paraId="3CFD832F" w14:textId="471ABC6C" w:rsidR="00E03073" w:rsidRPr="006B08F9" w:rsidRDefault="00E03073" w:rsidP="008D6595">
      <w:pPr>
        <w:pStyle w:val="Figureheading"/>
      </w:pPr>
      <w:r w:rsidRPr="006B08F9">
        <w:lastRenderedPageBreak/>
        <w:t>Far North Queensland</w:t>
      </w:r>
      <w:r w:rsidR="003732D2">
        <w:t xml:space="preserve"> </w:t>
      </w:r>
      <w:r w:rsidR="003732D2" w:rsidRPr="00221C97">
        <w:t>interdependency grouping</w:t>
      </w:r>
      <w:r w:rsidR="00657CD9">
        <w:t xml:space="preserve"> – </w:t>
      </w:r>
      <w:r w:rsidR="00657CD9" w:rsidRPr="00657CD9">
        <w:t>Atherton, Cairns and Innisfail licence areas</w:t>
      </w:r>
    </w:p>
    <w:p w14:paraId="649E6595" w14:textId="120E00B9" w:rsidR="00E03073" w:rsidRDefault="000F79B4" w:rsidP="00E03073">
      <w:pPr>
        <w:spacing w:after="160" w:line="259" w:lineRule="auto"/>
        <w:rPr>
          <w:rFonts w:cs="Arial"/>
          <w:color w:val="353D3D"/>
          <w:szCs w:val="20"/>
        </w:rPr>
      </w:pPr>
      <w:r>
        <w:rPr>
          <w:noProof/>
        </w:rPr>
        <w:drawing>
          <wp:inline distT="0" distB="0" distL="0" distR="0" wp14:anchorId="40A5A110" wp14:editId="6A7F8AF3">
            <wp:extent cx="4871085" cy="5523865"/>
            <wp:effectExtent l="0" t="0" r="5715" b="635"/>
            <wp:docPr id="6" name="Picture 6" descr="Map of far North Queensland showing Atherton, Cairns and Innisfail licen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 of far North Queensland showing Atherton, Cairns and Innisfail licence area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71085" cy="5523865"/>
                    </a:xfrm>
                    <a:prstGeom prst="rect">
                      <a:avLst/>
                    </a:prstGeom>
                    <a:noFill/>
                    <a:ln>
                      <a:noFill/>
                    </a:ln>
                  </pic:spPr>
                </pic:pic>
              </a:graphicData>
            </a:graphic>
          </wp:inline>
        </w:drawing>
      </w:r>
    </w:p>
    <w:p w14:paraId="7F5E562E" w14:textId="77777777" w:rsidR="00E03073" w:rsidRDefault="00E03073" w:rsidP="00E03073">
      <w:pPr>
        <w:spacing w:after="160" w:line="259" w:lineRule="auto"/>
        <w:rPr>
          <w:rFonts w:cs="Arial"/>
          <w:color w:val="353D3D"/>
          <w:szCs w:val="20"/>
        </w:rPr>
      </w:pPr>
      <w:r>
        <w:rPr>
          <w:rFonts w:cs="Arial"/>
          <w:color w:val="353D3D"/>
          <w:szCs w:val="20"/>
        </w:rPr>
        <w:br w:type="page"/>
      </w:r>
    </w:p>
    <w:p w14:paraId="611D1ABF" w14:textId="596A2D8C" w:rsidR="00E03073" w:rsidRPr="006B08F9" w:rsidRDefault="00E03073" w:rsidP="00BC4644">
      <w:pPr>
        <w:pStyle w:val="Figureheading"/>
      </w:pPr>
      <w:r w:rsidRPr="006B08F9">
        <w:lastRenderedPageBreak/>
        <w:t>Western Q</w:t>
      </w:r>
      <w:r w:rsidR="0081172E">
        <w:t>ueensland</w:t>
      </w:r>
      <w:r w:rsidR="003732D2">
        <w:t xml:space="preserve"> </w:t>
      </w:r>
      <w:r w:rsidR="003732D2" w:rsidRPr="00221C97">
        <w:t>interdependency grouping</w:t>
      </w:r>
      <w:r w:rsidR="00657CD9">
        <w:t xml:space="preserve"> – Charleville, Charters Towers and Longreach licence areas</w:t>
      </w:r>
    </w:p>
    <w:p w14:paraId="3497EAED" w14:textId="02700BA0" w:rsidR="00E03073" w:rsidRDefault="00A11014" w:rsidP="00E03073">
      <w:pPr>
        <w:spacing w:after="160" w:line="259" w:lineRule="auto"/>
        <w:rPr>
          <w:rFonts w:cs="Arial"/>
          <w:color w:val="353D3D"/>
          <w:szCs w:val="20"/>
        </w:rPr>
      </w:pPr>
      <w:r>
        <w:rPr>
          <w:noProof/>
        </w:rPr>
        <w:drawing>
          <wp:inline distT="0" distB="0" distL="0" distR="0" wp14:anchorId="4ED887BE" wp14:editId="1D443597">
            <wp:extent cx="4871085" cy="5523865"/>
            <wp:effectExtent l="0" t="0" r="5715" b="635"/>
            <wp:docPr id="7" name="Picture 7" descr="Map of western Queensland showing Charleville, Charters Towers and Longreach licen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p of western Queensland showing Charleville, Charters Towers and Longreach licence area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871085" cy="5523865"/>
                    </a:xfrm>
                    <a:prstGeom prst="rect">
                      <a:avLst/>
                    </a:prstGeom>
                    <a:noFill/>
                    <a:ln>
                      <a:noFill/>
                    </a:ln>
                  </pic:spPr>
                </pic:pic>
              </a:graphicData>
            </a:graphic>
          </wp:inline>
        </w:drawing>
      </w:r>
    </w:p>
    <w:p w14:paraId="32F267DA" w14:textId="77777777" w:rsidR="00E03073" w:rsidRDefault="00E03073" w:rsidP="00E03073">
      <w:pPr>
        <w:spacing w:after="160" w:line="259" w:lineRule="auto"/>
        <w:rPr>
          <w:rFonts w:cs="Arial"/>
          <w:color w:val="353D3D"/>
          <w:szCs w:val="20"/>
        </w:rPr>
      </w:pPr>
      <w:r>
        <w:rPr>
          <w:rFonts w:cs="Arial"/>
          <w:color w:val="353D3D"/>
          <w:szCs w:val="20"/>
        </w:rPr>
        <w:br w:type="page"/>
      </w:r>
    </w:p>
    <w:p w14:paraId="1886E2ED" w14:textId="5962314B" w:rsidR="00E03073" w:rsidRPr="005F6191" w:rsidRDefault="00E03073" w:rsidP="00BC4644">
      <w:pPr>
        <w:pStyle w:val="Figureheading"/>
      </w:pPr>
      <w:r w:rsidRPr="005F6191">
        <w:lastRenderedPageBreak/>
        <w:t>Central Q</w:t>
      </w:r>
      <w:r w:rsidR="0081172E">
        <w:t>ueensland</w:t>
      </w:r>
      <w:r w:rsidR="003732D2">
        <w:t xml:space="preserve"> </w:t>
      </w:r>
      <w:r w:rsidR="003732D2" w:rsidRPr="00F929D9">
        <w:t>interdependency grouping</w:t>
      </w:r>
      <w:r w:rsidR="00657CD9">
        <w:t xml:space="preserve"> – </w:t>
      </w:r>
      <w:r w:rsidR="00657CD9" w:rsidRPr="00657CD9">
        <w:t>Bundaberg, Emerald, Gympie, Kingaroy, Mackay, Maryborough, Rockhampton, Roma and Toowoomba/Warwick licence areas</w:t>
      </w:r>
    </w:p>
    <w:p w14:paraId="09BC5194" w14:textId="48DF5E5A" w:rsidR="00E03073" w:rsidRDefault="009A1496" w:rsidP="00E03073">
      <w:pPr>
        <w:spacing w:after="160" w:line="259" w:lineRule="auto"/>
        <w:rPr>
          <w:rFonts w:cs="Arial"/>
          <w:color w:val="353D3D"/>
          <w:szCs w:val="20"/>
        </w:rPr>
      </w:pPr>
      <w:r>
        <w:rPr>
          <w:noProof/>
        </w:rPr>
        <w:drawing>
          <wp:inline distT="0" distB="0" distL="0" distR="0" wp14:anchorId="5549264B" wp14:editId="16AB28D4">
            <wp:extent cx="4871085" cy="5523865"/>
            <wp:effectExtent l="0" t="0" r="5715" b="635"/>
            <wp:docPr id="8" name="Picture 8" descr="Map of central Queensland showing Bundaberg, Emerald, Gympie, Kingaroy, Mackay, Maryborough, Rockhampton, Roma and Toowoomba/Warwick licen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ap of central Queensland showing Bundaberg, Emerald, Gympie, Kingaroy, Mackay, Maryborough, Rockhampton, Roma and Toowoomba/Warwick licence areas."/>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871085" cy="5523865"/>
                    </a:xfrm>
                    <a:prstGeom prst="rect">
                      <a:avLst/>
                    </a:prstGeom>
                    <a:noFill/>
                    <a:ln>
                      <a:noFill/>
                    </a:ln>
                  </pic:spPr>
                </pic:pic>
              </a:graphicData>
            </a:graphic>
          </wp:inline>
        </w:drawing>
      </w:r>
    </w:p>
    <w:p w14:paraId="18924614" w14:textId="2D93D913" w:rsidR="00E03073" w:rsidRDefault="00E03073" w:rsidP="00E03073">
      <w:pPr>
        <w:spacing w:after="160" w:line="259" w:lineRule="auto"/>
        <w:rPr>
          <w:rFonts w:cs="Arial"/>
          <w:color w:val="353D3D"/>
          <w:szCs w:val="20"/>
        </w:rPr>
      </w:pPr>
      <w:r>
        <w:rPr>
          <w:rFonts w:cs="Arial"/>
          <w:color w:val="353D3D"/>
          <w:szCs w:val="20"/>
        </w:rPr>
        <w:br w:type="page"/>
      </w:r>
    </w:p>
    <w:p w14:paraId="3E97204B" w14:textId="011AC30F" w:rsidR="00E03073" w:rsidRDefault="00E03073" w:rsidP="00582BB7">
      <w:pPr>
        <w:pStyle w:val="Figureheading"/>
      </w:pPr>
      <w:r w:rsidRPr="005F6191">
        <w:lastRenderedPageBreak/>
        <w:t>Inland NSW, North Coast NSW and Hunter</w:t>
      </w:r>
      <w:r w:rsidR="003732D2">
        <w:t xml:space="preserve"> </w:t>
      </w:r>
      <w:r w:rsidR="003732D2" w:rsidRPr="00F929D9">
        <w:t>interdependency grouping</w:t>
      </w:r>
      <w:r w:rsidR="00247BCA">
        <w:t>s</w:t>
      </w:r>
    </w:p>
    <w:p w14:paraId="20B2893C" w14:textId="77777777" w:rsidR="00582BB7" w:rsidRDefault="00582BB7" w:rsidP="00BC4644">
      <w:pPr>
        <w:pStyle w:val="Paragraph"/>
        <w:spacing w:after="120"/>
      </w:pPr>
      <w:r w:rsidRPr="00BC4644">
        <w:rPr>
          <w:b/>
          <w:bCs/>
        </w:rPr>
        <w:t>Inland NSW</w:t>
      </w:r>
      <w:r w:rsidRPr="00D3397C">
        <w:rPr>
          <w:b/>
          <w:bCs/>
        </w:rPr>
        <w:t>:</w:t>
      </w:r>
      <w:r>
        <w:t xml:space="preserve"> Dubbo, Gunnedah, Inverell and Orange licence areas</w:t>
      </w:r>
    </w:p>
    <w:p w14:paraId="7C479178" w14:textId="77777777" w:rsidR="00582BB7" w:rsidRDefault="00582BB7" w:rsidP="00BC4644">
      <w:pPr>
        <w:pStyle w:val="Paragraph"/>
        <w:spacing w:after="120"/>
      </w:pPr>
      <w:r w:rsidRPr="00BC4644">
        <w:rPr>
          <w:b/>
          <w:bCs/>
        </w:rPr>
        <w:t>North Coast NSW:</w:t>
      </w:r>
      <w:r>
        <w:t xml:space="preserve"> Coffs Harbour and Kempsey licence areas</w:t>
      </w:r>
    </w:p>
    <w:p w14:paraId="7AB9CD71" w14:textId="6DD21B35" w:rsidR="00582BB7" w:rsidRPr="00BC4644" w:rsidRDefault="00582BB7" w:rsidP="005348ED">
      <w:pPr>
        <w:pStyle w:val="Paragraph"/>
        <w:spacing w:after="120"/>
      </w:pPr>
      <w:r w:rsidRPr="00BC4644">
        <w:rPr>
          <w:b/>
          <w:bCs/>
        </w:rPr>
        <w:t xml:space="preserve">Hunter: </w:t>
      </w:r>
      <w:r>
        <w:t>Muswellbrook and Newcastle licence areas</w:t>
      </w:r>
    </w:p>
    <w:p w14:paraId="46BEAB79" w14:textId="70563358" w:rsidR="00E03073" w:rsidRDefault="009A1496" w:rsidP="00E03073">
      <w:pPr>
        <w:spacing w:after="160" w:line="259" w:lineRule="auto"/>
        <w:rPr>
          <w:rFonts w:cs="Arial"/>
          <w:color w:val="353D3D"/>
          <w:szCs w:val="20"/>
        </w:rPr>
      </w:pPr>
      <w:r>
        <w:rPr>
          <w:noProof/>
        </w:rPr>
        <w:drawing>
          <wp:inline distT="0" distB="0" distL="0" distR="0" wp14:anchorId="02AF3BA6" wp14:editId="690BD162">
            <wp:extent cx="4871085" cy="3900170"/>
            <wp:effectExtent l="0" t="0" r="5715" b="5080"/>
            <wp:docPr id="18" name="Picture 18" descr="Map showing Inland NSW: Dubbo, Gunnedah, Inverell and Orange licence areas&#10;North Coast NSW: Coffs Harbour and Kempsey licence areas&#10;Hunter: Muswellbrook and Newcastle licen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Map showing Inland NSW: Dubbo, Gunnedah, Inverell and Orange licence areas&#10;North Coast NSW: Coffs Harbour and Kempsey licence areas&#10;Hunter: Muswellbrook and Newcastle licence area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871085" cy="3900170"/>
                    </a:xfrm>
                    <a:prstGeom prst="rect">
                      <a:avLst/>
                    </a:prstGeom>
                    <a:noFill/>
                    <a:ln>
                      <a:noFill/>
                    </a:ln>
                  </pic:spPr>
                </pic:pic>
              </a:graphicData>
            </a:graphic>
          </wp:inline>
        </w:drawing>
      </w:r>
    </w:p>
    <w:p w14:paraId="180F3B8B" w14:textId="77777777" w:rsidR="00E03073" w:rsidRDefault="00E03073" w:rsidP="00E03073">
      <w:pPr>
        <w:spacing w:after="160" w:line="259" w:lineRule="auto"/>
        <w:rPr>
          <w:rFonts w:cs="Arial"/>
          <w:color w:val="353D3D"/>
          <w:szCs w:val="20"/>
        </w:rPr>
      </w:pPr>
      <w:r>
        <w:rPr>
          <w:rFonts w:cs="Arial"/>
          <w:color w:val="353D3D"/>
          <w:szCs w:val="20"/>
        </w:rPr>
        <w:br w:type="page"/>
      </w:r>
    </w:p>
    <w:p w14:paraId="1B6BF9BF" w14:textId="4468702B" w:rsidR="00E03073" w:rsidRDefault="00E03073" w:rsidP="00582BB7">
      <w:pPr>
        <w:pStyle w:val="Figureheading"/>
      </w:pPr>
      <w:r>
        <w:lastRenderedPageBreak/>
        <w:t>Southern NSW/</w:t>
      </w:r>
      <w:r w:rsidRPr="005F6191">
        <w:t>Wes</w:t>
      </w:r>
      <w:r>
        <w:t>t</w:t>
      </w:r>
      <w:r w:rsidR="0081172E">
        <w:t>ern</w:t>
      </w:r>
      <w:r w:rsidRPr="005F6191">
        <w:t xml:space="preserve"> Vic</w:t>
      </w:r>
      <w:r w:rsidR="0081172E">
        <w:t>toria</w:t>
      </w:r>
      <w:r w:rsidR="003732D2">
        <w:t xml:space="preserve">, </w:t>
      </w:r>
      <w:r w:rsidRPr="005F6191">
        <w:t>Central Vic</w:t>
      </w:r>
      <w:r w:rsidR="0081172E">
        <w:t>toria</w:t>
      </w:r>
      <w:r>
        <w:t xml:space="preserve"> and Gippsland</w:t>
      </w:r>
      <w:r w:rsidR="003732D2">
        <w:t xml:space="preserve"> </w:t>
      </w:r>
      <w:r w:rsidR="003732D2" w:rsidRPr="00F929D9">
        <w:t>interdependency grouping</w:t>
      </w:r>
      <w:r w:rsidR="00247BCA">
        <w:t>s</w:t>
      </w:r>
    </w:p>
    <w:p w14:paraId="32A560F7" w14:textId="75A401D3" w:rsidR="00582BB7" w:rsidRDefault="00582BB7" w:rsidP="00BC4644">
      <w:pPr>
        <w:pStyle w:val="Paragraph"/>
        <w:spacing w:after="120"/>
      </w:pPr>
      <w:r w:rsidRPr="00BC4644">
        <w:rPr>
          <w:b/>
          <w:bCs/>
        </w:rPr>
        <w:t>Southern NSW/West Vic</w:t>
      </w:r>
      <w:r w:rsidR="0081172E">
        <w:rPr>
          <w:b/>
          <w:bCs/>
        </w:rPr>
        <w:t>toria</w:t>
      </w:r>
      <w:r w:rsidRPr="00BC4644">
        <w:rPr>
          <w:b/>
          <w:bCs/>
        </w:rPr>
        <w:t>:</w:t>
      </w:r>
      <w:r>
        <w:t xml:space="preserve"> Colac, Deniliquin, Griffith, Horsham, Hamilton, Mildura, Swan Hill and Wagga Wagga licence areas</w:t>
      </w:r>
    </w:p>
    <w:p w14:paraId="0D85A96B" w14:textId="2FE7048C" w:rsidR="00582BB7" w:rsidRDefault="00582BB7" w:rsidP="00BC4644">
      <w:pPr>
        <w:pStyle w:val="Paragraph"/>
        <w:spacing w:after="120"/>
      </w:pPr>
      <w:r w:rsidRPr="005348ED">
        <w:rPr>
          <w:b/>
          <w:bCs/>
        </w:rPr>
        <w:t>Central Vic</w:t>
      </w:r>
      <w:r w:rsidR="0081172E">
        <w:rPr>
          <w:b/>
          <w:bCs/>
        </w:rPr>
        <w:t>toria</w:t>
      </w:r>
      <w:r w:rsidRPr="005348ED">
        <w:rPr>
          <w:b/>
          <w:bCs/>
        </w:rPr>
        <w:t xml:space="preserve">: </w:t>
      </w:r>
      <w:r>
        <w:t>Albury, Ballarat, Maryborough and Shepparton licence areas</w:t>
      </w:r>
    </w:p>
    <w:p w14:paraId="6135B569" w14:textId="00A8C0C6" w:rsidR="00582BB7" w:rsidRPr="009347B4" w:rsidRDefault="00582BB7" w:rsidP="005348ED">
      <w:pPr>
        <w:pStyle w:val="Paragraph"/>
        <w:spacing w:after="120"/>
      </w:pPr>
      <w:r w:rsidRPr="009347B4">
        <w:rPr>
          <w:b/>
          <w:bCs/>
        </w:rPr>
        <w:t>Gippsland:</w:t>
      </w:r>
      <w:r>
        <w:t xml:space="preserve"> Sale and Warragul licence areas</w:t>
      </w:r>
    </w:p>
    <w:p w14:paraId="1858DB59" w14:textId="42F83373" w:rsidR="00E03073" w:rsidRDefault="00EA0C61" w:rsidP="00E03073">
      <w:pPr>
        <w:spacing w:after="160" w:line="259" w:lineRule="auto"/>
        <w:rPr>
          <w:rFonts w:cs="Arial"/>
          <w:color w:val="353D3D"/>
          <w:szCs w:val="20"/>
        </w:rPr>
      </w:pPr>
      <w:r>
        <w:rPr>
          <w:noProof/>
        </w:rPr>
        <w:drawing>
          <wp:inline distT="0" distB="0" distL="0" distR="0" wp14:anchorId="69CCA0C8" wp14:editId="3DA39B56">
            <wp:extent cx="4871085" cy="5197475"/>
            <wp:effectExtent l="0" t="0" r="5715" b="3175"/>
            <wp:docPr id="19" name="Picture 19" descr="Map showing Southern NSW/West Vic.: Colac, Deniliquin, Griffith, Horsham, Hamilton, Mildura, Swan Hill and Wagga Wagga licence areas&#10;Central Vic.: Albury, Ballarat, Maryborough and Shepparton licence areas&#10;Gippsland: Sale and Warragul licen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p showing Southern NSW/West Vic.: Colac, Deniliquin, Griffith, Horsham, Hamilton, Mildura, Swan Hill and Wagga Wagga licence areas&#10;Central Vic.: Albury, Ballarat, Maryborough and Shepparton licence areas&#10;Gippsland: Sale and Warragul licence area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71085" cy="5197475"/>
                    </a:xfrm>
                    <a:prstGeom prst="rect">
                      <a:avLst/>
                    </a:prstGeom>
                    <a:noFill/>
                    <a:ln>
                      <a:noFill/>
                    </a:ln>
                  </pic:spPr>
                </pic:pic>
              </a:graphicData>
            </a:graphic>
          </wp:inline>
        </w:drawing>
      </w:r>
    </w:p>
    <w:p w14:paraId="16B42111" w14:textId="77777777" w:rsidR="00E03073" w:rsidRDefault="00E03073" w:rsidP="00E03073">
      <w:pPr>
        <w:spacing w:after="160" w:line="259" w:lineRule="auto"/>
        <w:rPr>
          <w:rFonts w:cs="Arial"/>
          <w:color w:val="353D3D"/>
          <w:szCs w:val="20"/>
        </w:rPr>
      </w:pPr>
      <w:r>
        <w:rPr>
          <w:rFonts w:cs="Arial"/>
          <w:color w:val="353D3D"/>
          <w:szCs w:val="20"/>
        </w:rPr>
        <w:br w:type="page"/>
      </w:r>
    </w:p>
    <w:p w14:paraId="17653C48" w14:textId="4CA6434E" w:rsidR="00E03073" w:rsidRPr="00CD6F86" w:rsidRDefault="00E03073" w:rsidP="009347B4">
      <w:pPr>
        <w:pStyle w:val="Figureheading"/>
      </w:pPr>
      <w:r>
        <w:lastRenderedPageBreak/>
        <w:t>South</w:t>
      </w:r>
      <w:r w:rsidR="0081172E">
        <w:t xml:space="preserve"> W</w:t>
      </w:r>
      <w:r>
        <w:t xml:space="preserve">est </w:t>
      </w:r>
      <w:r w:rsidRPr="00CD6F86">
        <w:t>W</w:t>
      </w:r>
      <w:r w:rsidR="00E34C85">
        <w:t>A</w:t>
      </w:r>
      <w:r w:rsidR="00665A33">
        <w:t xml:space="preserve"> </w:t>
      </w:r>
      <w:r w:rsidR="003504F7" w:rsidRPr="00221C97">
        <w:t xml:space="preserve">interdependency </w:t>
      </w:r>
      <w:r w:rsidR="00665A33">
        <w:t>grouping</w:t>
      </w:r>
      <w:r w:rsidR="00D3397C">
        <w:t xml:space="preserve"> </w:t>
      </w:r>
      <w:r w:rsidR="00582BB7">
        <w:t>– Bridgetown, Bunbury, Katanning, Merredin, Narrogin and Northam licence areas</w:t>
      </w:r>
    </w:p>
    <w:p w14:paraId="21C644FD" w14:textId="4CF8C6F0" w:rsidR="00E03073" w:rsidRDefault="00EA0C61" w:rsidP="00E03073">
      <w:pPr>
        <w:spacing w:after="160" w:line="259" w:lineRule="auto"/>
        <w:rPr>
          <w:rFonts w:cs="Arial"/>
          <w:color w:val="353D3D"/>
          <w:szCs w:val="20"/>
        </w:rPr>
      </w:pPr>
      <w:r>
        <w:rPr>
          <w:noProof/>
        </w:rPr>
        <w:drawing>
          <wp:inline distT="0" distB="0" distL="0" distR="0" wp14:anchorId="54E5A562" wp14:editId="513E800F">
            <wp:extent cx="4871085" cy="5523865"/>
            <wp:effectExtent l="0" t="0" r="5715" b="635"/>
            <wp:docPr id="20" name="Picture 20" descr="Map showing Bridgetown, Bunbury, Katanning, Merredin, Narrogin and Northam licence 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ap showing Bridgetown, Bunbury, Katanning, Merredin, Narrogin and Northam licence areas."/>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871085" cy="5523865"/>
                    </a:xfrm>
                    <a:prstGeom prst="rect">
                      <a:avLst/>
                    </a:prstGeom>
                    <a:noFill/>
                    <a:ln>
                      <a:noFill/>
                    </a:ln>
                  </pic:spPr>
                </pic:pic>
              </a:graphicData>
            </a:graphic>
          </wp:inline>
        </w:drawing>
      </w:r>
    </w:p>
    <w:sectPr w:rsidR="00E03073" w:rsidSect="00C77380">
      <w:headerReference w:type="even" r:id="rId41"/>
      <w:headerReference w:type="default" r:id="rId42"/>
      <w:footerReference w:type="even" r:id="rId43"/>
      <w:footerReference w:type="default" r:id="rId44"/>
      <w:pgSz w:w="11906" w:h="16838" w:code="9"/>
      <w:pgMar w:top="1945" w:right="3101" w:bottom="1134" w:left="1134" w:header="709" w:footer="1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EC701" w14:textId="77777777" w:rsidR="00BB1D9C" w:rsidRDefault="00BB1D9C">
      <w:r>
        <w:separator/>
      </w:r>
    </w:p>
  </w:endnote>
  <w:endnote w:type="continuationSeparator" w:id="0">
    <w:p w14:paraId="28DBAB03" w14:textId="77777777" w:rsidR="00BB1D9C" w:rsidRDefault="00BB1D9C">
      <w:r>
        <w:continuationSeparator/>
      </w:r>
    </w:p>
  </w:endnote>
  <w:endnote w:type="continuationNotice" w:id="1">
    <w:p w14:paraId="3DC089BF" w14:textId="77777777" w:rsidR="00BB1D9C" w:rsidRDefault="00BB1D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Std Lt">
    <w:panose1 w:val="020B0403020202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7EDBF" w14:textId="77777777" w:rsidR="001F5CD5" w:rsidRDefault="001F5CD5" w:rsidP="005E250B">
    <w:pPr>
      <w:pStyle w:val="Footer"/>
      <w:jc w:val="right"/>
    </w:pPr>
    <w:r w:rsidRPr="005E250B">
      <w:rPr>
        <w:noProof/>
        <w:vertAlign w:val="subscript"/>
      </w:rPr>
      <w:drawing>
        <wp:inline distT="0" distB="0" distL="0" distR="0" wp14:anchorId="31FC3DCA" wp14:editId="34DB4DB1">
          <wp:extent cx="1066800" cy="277368"/>
          <wp:effectExtent l="0" t="0" r="0" b="0"/>
          <wp:docPr id="10" name="Picture 10" descr="acma.gov.au">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hlinkClick r:id="rId1"/>
                  </pic:cNvPr>
                  <pic:cNvPicPr/>
                </pic:nvPicPr>
                <pic:blipFill>
                  <a:blip r:embed="rId2"/>
                  <a:stretch>
                    <a:fillRect/>
                  </a:stretch>
                </pic:blipFill>
                <pic:spPr>
                  <a:xfrm>
                    <a:off x="0" y="0"/>
                    <a:ext cx="1133985" cy="29483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3F8E" w14:textId="77777777" w:rsidR="00C053A1" w:rsidRDefault="00C053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11067" w14:textId="77777777" w:rsidR="00C053A1" w:rsidRDefault="00C053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2B7D1" w14:textId="77777777" w:rsidR="00971914" w:rsidRPr="00622A3B" w:rsidRDefault="00971914" w:rsidP="00971914">
    <w:pPr>
      <w:pStyle w:val="Footer"/>
      <w:framePr w:w="1334" w:h="357" w:hRule="exact" w:vSpace="425" w:wrap="around" w:vAnchor="page" w:hAnchor="page" w:x="1156" w:y="16166"/>
      <w:pBdr>
        <w:top w:val="single" w:sz="4" w:space="1" w:color="auto"/>
      </w:pBdr>
      <w:tabs>
        <w:tab w:val="clear" w:pos="113"/>
        <w:tab w:val="left" w:pos="284"/>
      </w:tabs>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iv</w:t>
    </w:r>
    <w:r w:rsidRPr="002E4DDC">
      <w:rPr>
        <w:color w:val="505050"/>
      </w:rPr>
      <w:fldChar w:fldCharType="end"/>
    </w:r>
  </w:p>
  <w:p w14:paraId="1F02BAB3" w14:textId="77777777" w:rsidR="00C053A1" w:rsidRPr="00A5474E" w:rsidRDefault="00C053A1" w:rsidP="00A547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178C" w14:textId="77777777" w:rsidR="00971914" w:rsidRPr="00622A3B" w:rsidRDefault="00971914" w:rsidP="00971914">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0C6AB4">
      <w:rPr>
        <w:noProof/>
        <w:color w:val="505050"/>
      </w:rPr>
      <w:t>v</w:t>
    </w:r>
    <w:r w:rsidRPr="002E4DDC">
      <w:rPr>
        <w:color w:val="505050"/>
      </w:rPr>
      <w:fldChar w:fldCharType="end"/>
    </w:r>
  </w:p>
  <w:p w14:paraId="02A15D42" w14:textId="77777777" w:rsidR="00C053A1" w:rsidRPr="00A5474E" w:rsidRDefault="00C053A1" w:rsidP="00A5474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84D0" w14:textId="77777777" w:rsidR="00C053A1" w:rsidRPr="00622A3B" w:rsidRDefault="00C053A1" w:rsidP="0094078F">
    <w:pPr>
      <w:pStyle w:val="Footer"/>
      <w:framePr w:w="1334" w:h="357" w:hRule="exact" w:vSpace="425" w:wrap="around" w:vAnchor="page" w:hAnchor="page" w:x="7335" w:y="16166"/>
      <w:pBdr>
        <w:top w:val="single" w:sz="4" w:space="1" w:color="auto"/>
      </w:pBdr>
      <w:tabs>
        <w:tab w:val="clear" w:pos="113"/>
        <w:tab w:val="left" w:pos="284"/>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2E4DDC">
      <w:rPr>
        <w:color w:val="505050"/>
      </w:rPr>
      <w:fldChar w:fldCharType="begin"/>
    </w:r>
    <w:r w:rsidRPr="002E4DDC">
      <w:rPr>
        <w:color w:val="505050"/>
      </w:rPr>
      <w:instrText xml:space="preserve"> PAGE  \* roman  \* MERGEFORMAT </w:instrText>
    </w:r>
    <w:r w:rsidRPr="002E4DDC">
      <w:rPr>
        <w:color w:val="505050"/>
      </w:rPr>
      <w:fldChar w:fldCharType="separate"/>
    </w:r>
    <w:r w:rsidR="00DD1A43">
      <w:rPr>
        <w:noProof/>
        <w:color w:val="505050"/>
      </w:rPr>
      <w:t>iii</w:t>
    </w:r>
    <w:r w:rsidRPr="002E4DDC">
      <w:rPr>
        <w:color w:val="505050"/>
      </w:rPr>
      <w:fldChar w:fldCharType="end"/>
    </w:r>
  </w:p>
  <w:p w14:paraId="48A4FE43" w14:textId="77777777" w:rsidR="00C053A1" w:rsidRPr="00A5474E" w:rsidRDefault="00C053A1" w:rsidP="00A5474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8CA3" w14:textId="77777777" w:rsidR="00C053A1" w:rsidRPr="00622A3B" w:rsidRDefault="00C053A1" w:rsidP="00B43262">
    <w:pPr>
      <w:pStyle w:val="FooterLeft"/>
      <w:framePr w:wrap="around" w:x="1141" w:y="16166"/>
      <w:tabs>
        <w:tab w:val="clear" w:pos="113"/>
        <w:tab w:val="right" w:pos="397"/>
      </w:tabs>
    </w:pPr>
    <w:r w:rsidRPr="00575AC5">
      <w:fldChar w:fldCharType="begin"/>
    </w:r>
    <w:r w:rsidRPr="00575AC5">
      <w:instrText xml:space="preserve"> PAGE  \* Arabic  \* MERGEFORMAT </w:instrText>
    </w:r>
    <w:r w:rsidRPr="00575AC5">
      <w:fldChar w:fldCharType="separate"/>
    </w:r>
    <w:r w:rsidR="00DD1A43">
      <w:rPr>
        <w:noProof/>
      </w:rPr>
      <w:t>6</w:t>
    </w:r>
    <w:r w:rsidRPr="00575AC5">
      <w:fldChar w:fldCharType="end"/>
    </w:r>
    <w:r w:rsidRPr="0094078F">
      <w:tab/>
    </w:r>
    <w:r w:rsidRPr="00622A3B">
      <w:t>|</w:t>
    </w:r>
    <w:r>
      <w:tab/>
    </w:r>
    <w:r w:rsidRPr="00622A3B">
      <w:rPr>
        <w:b/>
        <w:noProof/>
        <w:spacing w:val="-16"/>
        <w:sz w:val="20"/>
        <w:szCs w:val="20"/>
      </w:rPr>
      <w:t>a</w:t>
    </w:r>
    <w:r w:rsidRPr="00622A3B">
      <w:rPr>
        <w:b/>
        <w:noProof/>
        <w:spacing w:val="-15"/>
        <w:sz w:val="20"/>
        <w:szCs w:val="20"/>
      </w:rPr>
      <w:t>c</w:t>
    </w:r>
    <w:r w:rsidRPr="00622A3B">
      <w:rPr>
        <w:b/>
        <w:noProof/>
        <w:spacing w:val="-16"/>
        <w:sz w:val="20"/>
        <w:szCs w:val="20"/>
      </w:rPr>
      <w:t>m</w:t>
    </w:r>
    <w:r w:rsidRPr="00622A3B">
      <w:rPr>
        <w:b/>
        <w:noProof/>
        <w:spacing w:val="-14"/>
        <w:sz w:val="20"/>
        <w:szCs w:val="20"/>
      </w:rPr>
      <w:t>a</w:t>
    </w:r>
  </w:p>
  <w:p w14:paraId="1FA244EC" w14:textId="77777777" w:rsidR="00C053A1" w:rsidRPr="00A5474E" w:rsidRDefault="00C053A1" w:rsidP="00A5474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3F52" w14:textId="77777777" w:rsidR="00C053A1" w:rsidRPr="00622A3B" w:rsidRDefault="00C053A1" w:rsidP="00447037">
    <w:pPr>
      <w:pStyle w:val="Footer"/>
      <w:framePr w:w="1440" w:h="357" w:hRule="exact" w:vSpace="425" w:wrap="around" w:vAnchor="page" w:hAnchor="page" w:x="7335" w:y="16166"/>
      <w:pBdr>
        <w:top w:val="single" w:sz="4" w:space="1" w:color="auto"/>
      </w:pBdr>
      <w:tabs>
        <w:tab w:val="clear" w:pos="113"/>
        <w:tab w:val="left" w:pos="397"/>
      </w:tabs>
      <w:jc w:val="right"/>
      <w:rPr>
        <w:rFonts w:cs="Arial"/>
      </w:rPr>
    </w:pPr>
    <w:r w:rsidRPr="00622A3B">
      <w:rPr>
        <w:rFonts w:cs="Arial"/>
        <w:b/>
        <w:noProof/>
        <w:spacing w:val="-16"/>
        <w:sz w:val="20"/>
        <w:szCs w:val="20"/>
      </w:rPr>
      <w:t>a</w:t>
    </w:r>
    <w:r w:rsidRPr="00622A3B">
      <w:rPr>
        <w:rFonts w:cs="Arial"/>
        <w:b/>
        <w:noProof/>
        <w:spacing w:val="-15"/>
        <w:sz w:val="20"/>
        <w:szCs w:val="20"/>
      </w:rPr>
      <w:t>c</w:t>
    </w:r>
    <w:r w:rsidRPr="00622A3B">
      <w:rPr>
        <w:rFonts w:cs="Arial"/>
        <w:b/>
        <w:noProof/>
        <w:spacing w:val="-16"/>
        <w:sz w:val="20"/>
        <w:szCs w:val="20"/>
      </w:rPr>
      <w:t>m</w:t>
    </w:r>
    <w:r w:rsidRPr="00622A3B">
      <w:rPr>
        <w:rFonts w:cs="Arial"/>
        <w:b/>
        <w:noProof/>
        <w:spacing w:val="-14"/>
        <w:sz w:val="20"/>
        <w:szCs w:val="20"/>
      </w:rPr>
      <w:t>a</w:t>
    </w:r>
    <w:r w:rsidRPr="0094078F">
      <w:rPr>
        <w:rFonts w:cs="Arial"/>
      </w:rPr>
      <w:tab/>
    </w:r>
    <w:r>
      <w:rPr>
        <w:rFonts w:cs="Arial"/>
      </w:rPr>
      <w:t xml:space="preserve"> </w:t>
    </w:r>
    <w:r w:rsidRPr="00622A3B">
      <w:rPr>
        <w:rFonts w:cs="Arial"/>
      </w:rPr>
      <w:t>|</w:t>
    </w:r>
    <w:r>
      <w:tab/>
    </w:r>
    <w:r w:rsidRPr="00575AC5">
      <w:rPr>
        <w:color w:val="505050"/>
      </w:rPr>
      <w:fldChar w:fldCharType="begin"/>
    </w:r>
    <w:r w:rsidRPr="00575AC5">
      <w:rPr>
        <w:color w:val="505050"/>
      </w:rPr>
      <w:instrText xml:space="preserve"> PAGE  \* Arabic  \* MERGEFORMAT </w:instrText>
    </w:r>
    <w:r w:rsidRPr="00575AC5">
      <w:rPr>
        <w:color w:val="505050"/>
      </w:rPr>
      <w:fldChar w:fldCharType="separate"/>
    </w:r>
    <w:r w:rsidR="00DD1A43">
      <w:rPr>
        <w:noProof/>
        <w:color w:val="505050"/>
      </w:rPr>
      <w:t>1</w:t>
    </w:r>
    <w:r w:rsidRPr="00575AC5">
      <w:rPr>
        <w:color w:val="505050"/>
      </w:rPr>
      <w:fldChar w:fldCharType="end"/>
    </w:r>
  </w:p>
  <w:p w14:paraId="6D48E06A" w14:textId="77777777" w:rsidR="00C053A1" w:rsidRPr="00A5474E" w:rsidRDefault="00C053A1" w:rsidP="00A54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43B2A" w14:textId="77777777" w:rsidR="00BB1D9C" w:rsidRDefault="00BB1D9C" w:rsidP="00EA0969">
      <w:pPr>
        <w:spacing w:after="0"/>
      </w:pPr>
      <w:r>
        <w:separator/>
      </w:r>
    </w:p>
  </w:footnote>
  <w:footnote w:type="continuationSeparator" w:id="0">
    <w:p w14:paraId="199755BC" w14:textId="77777777" w:rsidR="00BB1D9C" w:rsidRDefault="00BB1D9C">
      <w:r>
        <w:continuationSeparator/>
      </w:r>
    </w:p>
  </w:footnote>
  <w:footnote w:type="continuationNotice" w:id="1">
    <w:p w14:paraId="48E0C462" w14:textId="77777777" w:rsidR="00BB1D9C" w:rsidRDefault="00BB1D9C">
      <w:pPr>
        <w:spacing w:after="0" w:line="240" w:lineRule="auto"/>
      </w:pPr>
    </w:p>
  </w:footnote>
  <w:footnote w:id="2">
    <w:p w14:paraId="2282B1A3" w14:textId="1AB95C01" w:rsidR="00AD5825" w:rsidRDefault="00AD5825" w:rsidP="00AD5825">
      <w:pPr>
        <w:pStyle w:val="FootnoteText"/>
      </w:pPr>
      <w:r>
        <w:rPr>
          <w:rStyle w:val="FootnoteReference"/>
        </w:rPr>
        <w:footnoteRef/>
      </w:r>
      <w:r>
        <w:t xml:space="preserve"> </w:t>
      </w:r>
      <w:r w:rsidR="00CC11D3">
        <w:t xml:space="preserve">In September 2022, the ACMA released an </w:t>
      </w:r>
      <w:hyperlink r:id="rId1" w:history="1">
        <w:r w:rsidR="00CC11D3">
          <w:rPr>
            <w:rStyle w:val="Hyperlink"/>
          </w:rPr>
          <w:t>outcome statement</w:t>
        </w:r>
      </w:hyperlink>
      <w:r w:rsidR="00CC11D3">
        <w:t xml:space="preserve"> </w:t>
      </w:r>
      <w:r w:rsidR="0008681C">
        <w:t xml:space="preserve">following consultation </w:t>
      </w:r>
      <w:r w:rsidR="00CC11D3">
        <w:t xml:space="preserve">on </w:t>
      </w:r>
      <w:r w:rsidR="00CA011C">
        <w:t>options to replan</w:t>
      </w:r>
      <w:r w:rsidR="00CC11D3">
        <w:t xml:space="preserve"> the FM band in Perth to allow for conversions of AM services to FM.</w:t>
      </w:r>
    </w:p>
  </w:footnote>
  <w:footnote w:id="3">
    <w:p w14:paraId="22FDBF50" w14:textId="77777777" w:rsidR="00AD5825" w:rsidRDefault="00AD5825" w:rsidP="00AD5825">
      <w:pPr>
        <w:pStyle w:val="FootnoteText"/>
      </w:pPr>
      <w:r>
        <w:rPr>
          <w:rStyle w:val="FootnoteReference"/>
        </w:rPr>
        <w:footnoteRef/>
      </w:r>
      <w:r>
        <w:t xml:space="preserve"> See section 17 of the </w:t>
      </w:r>
      <w:r w:rsidRPr="006F35F1">
        <w:rPr>
          <w:rFonts w:cs="Arial"/>
          <w:i/>
          <w:iCs/>
        </w:rPr>
        <w:t>Legislation Act 2003</w:t>
      </w:r>
      <w:r w:rsidRPr="0013495A">
        <w:rPr>
          <w:i/>
          <w:iCs/>
        </w:rPr>
        <w:t>.</w:t>
      </w:r>
    </w:p>
  </w:footnote>
  <w:footnote w:id="4">
    <w:p w14:paraId="7BA12FDC" w14:textId="77777777" w:rsidR="00AD5825" w:rsidRDefault="00AD5825" w:rsidP="00AD5825">
      <w:pPr>
        <w:pStyle w:val="NormalWeb"/>
        <w:spacing w:before="0" w:beforeAutospacing="0" w:after="0" w:afterAutospacing="0"/>
      </w:pPr>
      <w:r w:rsidRPr="008744FC">
        <w:rPr>
          <w:rStyle w:val="FootnoteReference"/>
          <w:sz w:val="18"/>
          <w:szCs w:val="18"/>
        </w:rPr>
        <w:footnoteRef/>
      </w:r>
      <w:r>
        <w:t xml:space="preserve"> </w:t>
      </w:r>
      <w:r w:rsidRPr="00F76D64">
        <w:rPr>
          <w:rFonts w:ascii="Arial" w:hAnsi="Arial"/>
          <w:sz w:val="16"/>
          <w:szCs w:val="16"/>
        </w:rPr>
        <w:t xml:space="preserve">A repeater is a broadcast transmitter </w:t>
      </w:r>
      <w:r>
        <w:rPr>
          <w:rFonts w:ascii="Arial" w:hAnsi="Arial"/>
          <w:sz w:val="16"/>
          <w:szCs w:val="16"/>
        </w:rPr>
        <w:t>that</w:t>
      </w:r>
      <w:r w:rsidRPr="00F76D64">
        <w:rPr>
          <w:rFonts w:ascii="Arial" w:hAnsi="Arial"/>
          <w:sz w:val="16"/>
          <w:szCs w:val="16"/>
        </w:rPr>
        <w:t xml:space="preserve"> repeats (or</w:t>
      </w:r>
      <w:r>
        <w:rPr>
          <w:rFonts w:ascii="Arial" w:hAnsi="Arial"/>
          <w:sz w:val="16"/>
          <w:szCs w:val="16"/>
        </w:rPr>
        <w:t xml:space="preserve"> </w:t>
      </w:r>
      <w:hyperlink r:id="rId2" w:history="1">
        <w:r w:rsidRPr="00F76D64">
          <w:rPr>
            <w:rFonts w:ascii="Arial" w:hAnsi="Arial"/>
            <w:sz w:val="16"/>
            <w:szCs w:val="16"/>
          </w:rPr>
          <w:t>transponds</w:t>
        </w:r>
      </w:hyperlink>
      <w:r w:rsidRPr="00F76D64">
        <w:rPr>
          <w:rFonts w:ascii="Arial" w:hAnsi="Arial"/>
          <w:sz w:val="16"/>
          <w:szCs w:val="16"/>
        </w:rPr>
        <w:t>) the signal of a radio or television station to an area not covered by the originating station. It expands the</w:t>
      </w:r>
      <w:r>
        <w:rPr>
          <w:rFonts w:ascii="Arial" w:hAnsi="Arial"/>
          <w:sz w:val="16"/>
          <w:szCs w:val="16"/>
        </w:rPr>
        <w:t xml:space="preserve"> </w:t>
      </w:r>
      <w:hyperlink r:id="rId3" w:history="1">
        <w:r w:rsidRPr="00F76D64">
          <w:rPr>
            <w:rFonts w:ascii="Arial" w:hAnsi="Arial"/>
            <w:sz w:val="16"/>
            <w:szCs w:val="16"/>
          </w:rPr>
          <w:t>broadcast range</w:t>
        </w:r>
      </w:hyperlink>
      <w:r>
        <w:rPr>
          <w:rFonts w:ascii="Arial" w:hAnsi="Arial"/>
          <w:sz w:val="16"/>
          <w:szCs w:val="16"/>
        </w:rPr>
        <w:t xml:space="preserve"> </w:t>
      </w:r>
      <w:r w:rsidRPr="00F76D64">
        <w:rPr>
          <w:rFonts w:ascii="Arial" w:hAnsi="Arial"/>
          <w:sz w:val="16"/>
          <w:szCs w:val="16"/>
        </w:rPr>
        <w:t>of a radio station beyond the primary signal's original coverage or improves service in the original coverage area.</w:t>
      </w:r>
    </w:p>
  </w:footnote>
  <w:footnote w:id="5">
    <w:p w14:paraId="71B5F5EB" w14:textId="4D6E04B8" w:rsidR="00AD5825" w:rsidRPr="008C4830" w:rsidRDefault="00AD5825" w:rsidP="00AD5825">
      <w:pPr>
        <w:pStyle w:val="FootnoteText"/>
      </w:pPr>
      <w:r>
        <w:rPr>
          <w:rStyle w:val="FootnoteReference"/>
        </w:rPr>
        <w:footnoteRef/>
      </w:r>
      <w:r w:rsidRPr="008C4830">
        <w:t xml:space="preserve"> </w:t>
      </w:r>
      <w:r w:rsidRPr="008C4830">
        <w:rPr>
          <w:rFonts w:cs="Arial"/>
        </w:rPr>
        <w:t>For a typical conversion process, the stages may include the following: ACMA produces guidance notes</w:t>
      </w:r>
      <w:r w:rsidR="00EA2876" w:rsidRPr="008C4830">
        <w:rPr>
          <w:rFonts w:cs="Arial"/>
        </w:rPr>
        <w:t>;</w:t>
      </w:r>
      <w:r w:rsidRPr="008C4830">
        <w:rPr>
          <w:rFonts w:cs="Arial"/>
        </w:rPr>
        <w:t xml:space="preserve"> consultant engineer prepares initial report</w:t>
      </w:r>
      <w:r w:rsidR="00EA2876" w:rsidRPr="008C4830">
        <w:rPr>
          <w:rFonts w:cs="Arial"/>
        </w:rPr>
        <w:t>;</w:t>
      </w:r>
      <w:r w:rsidRPr="008C4830">
        <w:rPr>
          <w:rFonts w:cs="Arial"/>
        </w:rPr>
        <w:t xml:space="preserve"> ACMA evaluates initial report</w:t>
      </w:r>
      <w:r w:rsidR="00EA2876" w:rsidRPr="008C4830">
        <w:rPr>
          <w:rFonts w:cs="Arial"/>
        </w:rPr>
        <w:t>;</w:t>
      </w:r>
      <w:r w:rsidRPr="008C4830">
        <w:rPr>
          <w:rFonts w:cs="Arial"/>
        </w:rPr>
        <w:t xml:space="preserve"> consultant engineer prepares final report</w:t>
      </w:r>
      <w:r w:rsidR="00EA2876" w:rsidRPr="008C4830">
        <w:rPr>
          <w:rFonts w:cs="Arial"/>
        </w:rPr>
        <w:t>;</w:t>
      </w:r>
      <w:r w:rsidRPr="008C4830">
        <w:rPr>
          <w:rFonts w:cs="Arial"/>
        </w:rPr>
        <w:t xml:space="preserve"> ACMA evaluates final engineering report</w:t>
      </w:r>
      <w:r w:rsidR="00EA2876" w:rsidRPr="008C4830">
        <w:rPr>
          <w:rFonts w:cs="Arial"/>
        </w:rPr>
        <w:t>;</w:t>
      </w:r>
      <w:r w:rsidRPr="008C4830">
        <w:rPr>
          <w:rFonts w:cs="Arial"/>
        </w:rPr>
        <w:t xml:space="preserve"> ACMA accepts final engineering report</w:t>
      </w:r>
      <w:r w:rsidR="00EA2876" w:rsidRPr="008C4830">
        <w:rPr>
          <w:rFonts w:cs="Arial"/>
        </w:rPr>
        <w:t>;</w:t>
      </w:r>
      <w:r w:rsidRPr="008C4830">
        <w:rPr>
          <w:rFonts w:cs="Arial"/>
        </w:rPr>
        <w:t xml:space="preserve"> ACMA prepares consultation package</w:t>
      </w:r>
      <w:r w:rsidR="00EA2876" w:rsidRPr="008C4830">
        <w:rPr>
          <w:rFonts w:cs="Arial"/>
        </w:rPr>
        <w:t>;</w:t>
      </w:r>
      <w:r w:rsidRPr="008C4830">
        <w:rPr>
          <w:rFonts w:cs="Arial"/>
        </w:rPr>
        <w:t xml:space="preserve"> ACMA decision to consult</w:t>
      </w:r>
      <w:r w:rsidR="00166A37" w:rsidRPr="008C4830">
        <w:rPr>
          <w:rFonts w:cs="Arial"/>
        </w:rPr>
        <w:t>;</w:t>
      </w:r>
      <w:r w:rsidRPr="008C4830">
        <w:rPr>
          <w:rFonts w:cs="Arial"/>
        </w:rPr>
        <w:t xml:space="preserve"> public consultation</w:t>
      </w:r>
      <w:r w:rsidR="00166A37" w:rsidRPr="008C4830">
        <w:rPr>
          <w:rFonts w:cs="Arial"/>
        </w:rPr>
        <w:t>;</w:t>
      </w:r>
      <w:r w:rsidRPr="008C4830">
        <w:rPr>
          <w:rFonts w:cs="Arial"/>
        </w:rPr>
        <w:t xml:space="preserve"> ACMA prepares final decision post-public consultation,</w:t>
      </w:r>
      <w:r w:rsidR="00166A37" w:rsidRPr="008C4830">
        <w:rPr>
          <w:rFonts w:cs="Arial"/>
        </w:rPr>
        <w:t xml:space="preserve"> and</w:t>
      </w:r>
      <w:r w:rsidRPr="008C4830">
        <w:rPr>
          <w:rFonts w:cs="Arial"/>
        </w:rPr>
        <w:t xml:space="preserve"> ACMA final decision.</w:t>
      </w:r>
    </w:p>
    <w:p w14:paraId="6CA820E5" w14:textId="77777777" w:rsidR="00AD5825" w:rsidRPr="008C4830" w:rsidRDefault="00AD5825" w:rsidP="00AD58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2A5B" w14:textId="77777777" w:rsidR="001F5CD5" w:rsidRPr="00A5474E" w:rsidRDefault="001F5CD5" w:rsidP="00A5474E">
    <w:pPr>
      <w:pStyle w:val="Header"/>
    </w:pPr>
    <w:r>
      <w:rPr>
        <w:noProof/>
      </w:rPr>
      <w:drawing>
        <wp:inline distT="0" distB="0" distL="0" distR="0" wp14:anchorId="3C4853E8" wp14:editId="3DC7B875">
          <wp:extent cx="6283434" cy="578076"/>
          <wp:effectExtent l="0" t="0" r="3175" b="0"/>
          <wp:docPr id="9" name="Picture 9" descr="AC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cussion-paper-header-block.pdf"/>
                  <pic:cNvPicPr/>
                </pic:nvPicPr>
                <pic:blipFill>
                  <a:blip r:embed="rId1"/>
                  <a:stretch>
                    <a:fillRect/>
                  </a:stretch>
                </pic:blipFill>
                <pic:spPr>
                  <a:xfrm>
                    <a:off x="0" y="0"/>
                    <a:ext cx="6283434" cy="5780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2B651" w14:textId="77777777" w:rsidR="001F5CD5" w:rsidRPr="00A5474E" w:rsidRDefault="001F5CD5" w:rsidP="00594E9C">
    <w:pPr>
      <w:pStyle w:val="TOCHeading"/>
    </w:pPr>
    <w:r w:rsidRPr="0029593B">
      <w:t>Contents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216A" w14:textId="77777777" w:rsidR="00C053A1" w:rsidRDefault="00C053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B602A" w14:textId="77777777" w:rsidR="00C053A1" w:rsidRDefault="00C053A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76E651A0" w14:textId="77777777" w:rsidTr="002C2AE0">
      <w:trPr>
        <w:trHeight w:hRule="exact" w:val="988"/>
      </w:trPr>
      <w:tc>
        <w:tcPr>
          <w:tcW w:w="7678" w:type="dxa"/>
          <w:shd w:val="clear" w:color="auto" w:fill="auto"/>
        </w:tcPr>
        <w:p w14:paraId="7404CAD5" w14:textId="77777777" w:rsidR="00971914" w:rsidRDefault="00971914" w:rsidP="00971914">
          <w:pPr>
            <w:pStyle w:val="Header"/>
          </w:pPr>
        </w:p>
      </w:tc>
    </w:tr>
    <w:tr w:rsidR="00971914" w14:paraId="45F6ADE7" w14:textId="77777777" w:rsidTr="002C2AE0">
      <w:tc>
        <w:tcPr>
          <w:tcW w:w="7678" w:type="dxa"/>
          <w:shd w:val="clear" w:color="auto" w:fill="auto"/>
        </w:tcPr>
        <w:p w14:paraId="7CD657E4" w14:textId="77777777" w:rsidR="00971914" w:rsidRDefault="00971914" w:rsidP="00971914">
          <w:pPr>
            <w:pStyle w:val="GridTable31"/>
          </w:pPr>
          <w:r>
            <w:t xml:space="preserve">Contents </w:t>
          </w:r>
          <w:r w:rsidRPr="00915B1C">
            <w:rPr>
              <w:b w:val="0"/>
              <w:spacing w:val="0"/>
              <w:sz w:val="28"/>
              <w:szCs w:val="28"/>
            </w:rPr>
            <w:t>(Continued)</w:t>
          </w:r>
        </w:p>
      </w:tc>
    </w:tr>
    <w:tr w:rsidR="00971914" w14:paraId="2833A03C" w14:textId="77777777" w:rsidTr="002C2AE0">
      <w:trPr>
        <w:trHeight w:val="1220"/>
      </w:trPr>
      <w:tc>
        <w:tcPr>
          <w:tcW w:w="7678" w:type="dxa"/>
          <w:shd w:val="clear" w:color="auto" w:fill="auto"/>
        </w:tcPr>
        <w:p w14:paraId="237A5C4C" w14:textId="77777777" w:rsidR="00971914" w:rsidRDefault="00971914" w:rsidP="00971914"/>
      </w:tc>
    </w:tr>
  </w:tbl>
  <w:p w14:paraId="5F96E25B" w14:textId="77777777" w:rsidR="00971914" w:rsidRDefault="00971914" w:rsidP="009719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78" w:type="dxa"/>
      <w:tblLayout w:type="fixed"/>
      <w:tblCellMar>
        <w:left w:w="0" w:type="dxa"/>
        <w:right w:w="0" w:type="dxa"/>
      </w:tblCellMar>
      <w:tblLook w:val="01E0" w:firstRow="1" w:lastRow="1" w:firstColumn="1" w:lastColumn="1" w:noHBand="0" w:noVBand="0"/>
    </w:tblPr>
    <w:tblGrid>
      <w:gridCol w:w="7678"/>
    </w:tblGrid>
    <w:tr w:rsidR="00971914" w14:paraId="3C477033" w14:textId="77777777" w:rsidTr="002C2AE0">
      <w:trPr>
        <w:trHeight w:hRule="exact" w:val="988"/>
      </w:trPr>
      <w:tc>
        <w:tcPr>
          <w:tcW w:w="7678" w:type="dxa"/>
          <w:shd w:val="clear" w:color="auto" w:fill="auto"/>
        </w:tcPr>
        <w:p w14:paraId="73AFD9E7" w14:textId="77777777" w:rsidR="00971914" w:rsidRDefault="00971914" w:rsidP="00971914">
          <w:pPr>
            <w:pStyle w:val="Header"/>
          </w:pPr>
        </w:p>
      </w:tc>
    </w:tr>
    <w:tr w:rsidR="00971914" w14:paraId="1C52B17B" w14:textId="77777777" w:rsidTr="002C2AE0">
      <w:tc>
        <w:tcPr>
          <w:tcW w:w="7678" w:type="dxa"/>
          <w:shd w:val="clear" w:color="auto" w:fill="auto"/>
        </w:tcPr>
        <w:p w14:paraId="1BA822FB" w14:textId="77777777" w:rsidR="00971914" w:rsidRDefault="00971914" w:rsidP="00971914">
          <w:pPr>
            <w:pStyle w:val="GridTable31"/>
          </w:pPr>
          <w:r>
            <w:t xml:space="preserve">Contents </w:t>
          </w:r>
          <w:r w:rsidRPr="00915B1C">
            <w:rPr>
              <w:b w:val="0"/>
              <w:spacing w:val="0"/>
              <w:sz w:val="28"/>
              <w:szCs w:val="28"/>
            </w:rPr>
            <w:t>(Continued)</w:t>
          </w:r>
        </w:p>
      </w:tc>
    </w:tr>
    <w:tr w:rsidR="00971914" w14:paraId="6ED9F49D" w14:textId="77777777" w:rsidTr="002C2AE0">
      <w:trPr>
        <w:trHeight w:val="1220"/>
      </w:trPr>
      <w:tc>
        <w:tcPr>
          <w:tcW w:w="7678" w:type="dxa"/>
          <w:shd w:val="clear" w:color="auto" w:fill="auto"/>
        </w:tcPr>
        <w:p w14:paraId="2B6F7B4D" w14:textId="77777777" w:rsidR="00971914" w:rsidRDefault="00971914" w:rsidP="00971914"/>
      </w:tc>
    </w:tr>
  </w:tbl>
  <w:p w14:paraId="3A8A1B5A" w14:textId="77777777" w:rsidR="00C053A1" w:rsidRPr="00A5474E" w:rsidRDefault="00C053A1" w:rsidP="00A5474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6B74" w14:textId="77777777" w:rsidR="00C053A1" w:rsidRDefault="00C053A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1285" w14:textId="77777777" w:rsidR="00C053A1" w:rsidRDefault="00C05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5F22F60"/>
    <w:lvl w:ilvl="0">
      <w:start w:val="1"/>
      <w:numFmt w:val="lowerRoman"/>
      <w:pStyle w:val="ListNumber2"/>
      <w:lvlText w:val="%1."/>
      <w:lvlJc w:val="right"/>
      <w:pPr>
        <w:ind w:left="717" w:hanging="360"/>
      </w:pPr>
      <w:rPr>
        <w:rFonts w:hint="default"/>
      </w:rPr>
    </w:lvl>
  </w:abstractNum>
  <w:abstractNum w:abstractNumId="1" w15:restartNumberingAfterBreak="0">
    <w:nsid w:val="FFFFFF83"/>
    <w:multiLevelType w:val="singleLevel"/>
    <w:tmpl w:val="909E78BC"/>
    <w:lvl w:ilvl="0">
      <w:start w:val="1"/>
      <w:numFmt w:val="bullet"/>
      <w:pStyle w:val="ListBullet2"/>
      <w:lvlText w:val="&gt;"/>
      <w:lvlJc w:val="left"/>
      <w:pPr>
        <w:tabs>
          <w:tab w:val="num" w:pos="845"/>
        </w:tabs>
        <w:ind w:left="845" w:hanging="544"/>
      </w:pPr>
      <w:rPr>
        <w:rFonts w:ascii="HelveticaNeueLT Std Lt" w:hAnsi="HelveticaNeueLT Std Lt" w:hint="default"/>
        <w:sz w:val="20"/>
      </w:rPr>
    </w:lvl>
  </w:abstractNum>
  <w:abstractNum w:abstractNumId="2" w15:restartNumberingAfterBreak="0">
    <w:nsid w:val="FFFFFF88"/>
    <w:multiLevelType w:val="singleLevel"/>
    <w:tmpl w:val="51B60EB2"/>
    <w:lvl w:ilvl="0">
      <w:start w:val="1"/>
      <w:numFmt w:val="decimal"/>
      <w:pStyle w:val="ListNumber"/>
      <w:lvlText w:val="%1."/>
      <w:lvlJc w:val="left"/>
      <w:pPr>
        <w:ind w:left="360" w:hanging="360"/>
      </w:pPr>
      <w:rPr>
        <w:rFonts w:hint="default"/>
        <w:b w:val="0"/>
        <w:bCs/>
        <w:caps/>
        <w:sz w:val="20"/>
      </w:rPr>
    </w:lvl>
  </w:abstractNum>
  <w:abstractNum w:abstractNumId="3"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4" w15:restartNumberingAfterBreak="0">
    <w:nsid w:val="02AF1222"/>
    <w:multiLevelType w:val="hybridMultilevel"/>
    <w:tmpl w:val="BC6E3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7417E"/>
    <w:multiLevelType w:val="hybridMultilevel"/>
    <w:tmpl w:val="694E5EB6"/>
    <w:lvl w:ilvl="0" w:tplc="7C22A9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7C268C"/>
    <w:multiLevelType w:val="hybridMultilevel"/>
    <w:tmpl w:val="E0A6CA9A"/>
    <w:lvl w:ilvl="0" w:tplc="44EEC084">
      <w:start w:val="1"/>
      <w:numFmt w:val="bullet"/>
      <w:lvlText w:val="&gt;"/>
      <w:lvlJc w:val="left"/>
      <w:pPr>
        <w:ind w:left="720" w:hanging="360"/>
      </w:pPr>
      <w:rPr>
        <w:rFonts w:ascii="HelveticaNeueLT Std" w:hAnsi="HelveticaNeueLT St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E37A5F"/>
    <w:multiLevelType w:val="hybridMultilevel"/>
    <w:tmpl w:val="A0E2A2AC"/>
    <w:lvl w:ilvl="0" w:tplc="D22A3A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D33612"/>
    <w:multiLevelType w:val="hybridMultilevel"/>
    <w:tmpl w:val="A4ACC9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301DD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15:restartNumberingAfterBreak="0">
    <w:nsid w:val="2E42432D"/>
    <w:multiLevelType w:val="hybridMultilevel"/>
    <w:tmpl w:val="A2B46590"/>
    <w:lvl w:ilvl="0" w:tplc="FD34693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5A5080"/>
    <w:multiLevelType w:val="hybridMultilevel"/>
    <w:tmpl w:val="BE2AF6CE"/>
    <w:lvl w:ilvl="0" w:tplc="D05E2434">
      <w:start w:val="1"/>
      <w:numFmt w:val="bullet"/>
      <w:lvlText w:val="●"/>
      <w:lvlJc w:val="left"/>
      <w:pPr>
        <w:ind w:left="357" w:hanging="357"/>
      </w:pPr>
      <w:rPr>
        <w:rFonts w:ascii="Arial" w:hAnsi="Arial" w:cs="Arial" w:hint="default"/>
        <w:sz w:val="20"/>
        <w:szCs w:val="20"/>
      </w:rPr>
    </w:lvl>
    <w:lvl w:ilvl="1" w:tplc="04090003">
      <w:start w:val="1"/>
      <w:numFmt w:val="bullet"/>
      <w:lvlText w:val="o"/>
      <w:lvlJc w:val="left"/>
      <w:pPr>
        <w:tabs>
          <w:tab w:val="num" w:pos="1728"/>
        </w:tabs>
        <w:ind w:left="1728" w:hanging="360"/>
      </w:pPr>
      <w:rPr>
        <w:rFonts w:ascii="Courier New" w:hAnsi="Courier New" w:cs="Times New Roman" w:hint="default"/>
      </w:rPr>
    </w:lvl>
    <w:lvl w:ilvl="2" w:tplc="04090005">
      <w:start w:val="1"/>
      <w:numFmt w:val="bullet"/>
      <w:lvlText w:val=""/>
      <w:lvlJc w:val="left"/>
      <w:pPr>
        <w:tabs>
          <w:tab w:val="num" w:pos="2448"/>
        </w:tabs>
        <w:ind w:left="2448" w:hanging="360"/>
      </w:pPr>
      <w:rPr>
        <w:rFonts w:ascii="Wingdings" w:hAnsi="Wingdings" w:hint="default"/>
      </w:rPr>
    </w:lvl>
    <w:lvl w:ilvl="3" w:tplc="04090001">
      <w:start w:val="1"/>
      <w:numFmt w:val="bullet"/>
      <w:lvlText w:val=""/>
      <w:lvlJc w:val="left"/>
      <w:pPr>
        <w:tabs>
          <w:tab w:val="num" w:pos="3168"/>
        </w:tabs>
        <w:ind w:left="3168" w:hanging="360"/>
      </w:pPr>
      <w:rPr>
        <w:rFonts w:ascii="Symbol" w:hAnsi="Symbol" w:hint="default"/>
      </w:rPr>
    </w:lvl>
    <w:lvl w:ilvl="4" w:tplc="04090003">
      <w:start w:val="1"/>
      <w:numFmt w:val="bullet"/>
      <w:lvlText w:val="o"/>
      <w:lvlJc w:val="left"/>
      <w:pPr>
        <w:tabs>
          <w:tab w:val="num" w:pos="3888"/>
        </w:tabs>
        <w:ind w:left="3888" w:hanging="360"/>
      </w:pPr>
      <w:rPr>
        <w:rFonts w:ascii="Courier New" w:hAnsi="Courier New" w:cs="Times New Roman" w:hint="default"/>
      </w:rPr>
    </w:lvl>
    <w:lvl w:ilvl="5" w:tplc="04090005">
      <w:start w:val="1"/>
      <w:numFmt w:val="bullet"/>
      <w:lvlText w:val=""/>
      <w:lvlJc w:val="left"/>
      <w:pPr>
        <w:tabs>
          <w:tab w:val="num" w:pos="4608"/>
        </w:tabs>
        <w:ind w:left="4608" w:hanging="360"/>
      </w:pPr>
      <w:rPr>
        <w:rFonts w:ascii="Wingdings" w:hAnsi="Wingdings" w:hint="default"/>
      </w:rPr>
    </w:lvl>
    <w:lvl w:ilvl="6" w:tplc="04090001">
      <w:start w:val="1"/>
      <w:numFmt w:val="bullet"/>
      <w:lvlText w:val=""/>
      <w:lvlJc w:val="left"/>
      <w:pPr>
        <w:tabs>
          <w:tab w:val="num" w:pos="5328"/>
        </w:tabs>
        <w:ind w:left="5328" w:hanging="360"/>
      </w:pPr>
      <w:rPr>
        <w:rFonts w:ascii="Symbol" w:hAnsi="Symbol" w:hint="default"/>
      </w:rPr>
    </w:lvl>
    <w:lvl w:ilvl="7" w:tplc="04090003">
      <w:start w:val="1"/>
      <w:numFmt w:val="bullet"/>
      <w:lvlText w:val="o"/>
      <w:lvlJc w:val="left"/>
      <w:pPr>
        <w:tabs>
          <w:tab w:val="num" w:pos="6048"/>
        </w:tabs>
        <w:ind w:left="6048" w:hanging="360"/>
      </w:pPr>
      <w:rPr>
        <w:rFonts w:ascii="Courier New" w:hAnsi="Courier New" w:cs="Times New Roman" w:hint="default"/>
      </w:rPr>
    </w:lvl>
    <w:lvl w:ilvl="8" w:tplc="04090005">
      <w:start w:val="1"/>
      <w:numFmt w:val="bullet"/>
      <w:lvlText w:val=""/>
      <w:lvlJc w:val="left"/>
      <w:pPr>
        <w:tabs>
          <w:tab w:val="num" w:pos="6768"/>
        </w:tabs>
        <w:ind w:left="6768" w:hanging="360"/>
      </w:pPr>
      <w:rPr>
        <w:rFonts w:ascii="Wingdings" w:hAnsi="Wingdings" w:hint="default"/>
      </w:rPr>
    </w:lvl>
  </w:abstractNum>
  <w:abstractNum w:abstractNumId="12" w15:restartNumberingAfterBreak="0">
    <w:nsid w:val="30915E66"/>
    <w:multiLevelType w:val="hybridMultilevel"/>
    <w:tmpl w:val="6D04C6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34D63B3C"/>
    <w:multiLevelType w:val="hybridMultilevel"/>
    <w:tmpl w:val="50346530"/>
    <w:lvl w:ilvl="0" w:tplc="D22A3A4E">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37020905"/>
    <w:multiLevelType w:val="hybridMultilevel"/>
    <w:tmpl w:val="DBB079C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18A0954"/>
    <w:multiLevelType w:val="hybridMultilevel"/>
    <w:tmpl w:val="235868E6"/>
    <w:lvl w:ilvl="0" w:tplc="7C22A9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643A3C"/>
    <w:multiLevelType w:val="hybridMultilevel"/>
    <w:tmpl w:val="8E0025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8495DA0"/>
    <w:multiLevelType w:val="hybridMultilevel"/>
    <w:tmpl w:val="CD7A6B4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5AA21F0"/>
    <w:multiLevelType w:val="hybridMultilevel"/>
    <w:tmpl w:val="9B5CB936"/>
    <w:lvl w:ilvl="0" w:tplc="CCA08FFA">
      <w:start w:val="1"/>
      <w:numFmt w:val="decimal"/>
      <w:pStyle w:val="ACMATableHeader"/>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75A88"/>
    <w:multiLevelType w:val="hybridMultilevel"/>
    <w:tmpl w:val="A51EF3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ADC65B6"/>
    <w:multiLevelType w:val="hybridMultilevel"/>
    <w:tmpl w:val="E3887A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EB64980"/>
    <w:multiLevelType w:val="hybridMultilevel"/>
    <w:tmpl w:val="F3DE3778"/>
    <w:lvl w:ilvl="0" w:tplc="7C22A9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5237A4"/>
    <w:multiLevelType w:val="hybridMultilevel"/>
    <w:tmpl w:val="A1CA51A8"/>
    <w:lvl w:ilvl="0" w:tplc="FDF67E9A">
      <w:numFmt w:val="bullet"/>
      <w:pStyle w:val="DotPoints"/>
      <w:lvlText w:val=""/>
      <w:lvlJc w:val="left"/>
      <w:pPr>
        <w:ind w:left="360" w:hanging="360"/>
      </w:pPr>
      <w:rPr>
        <w:rFonts w:ascii="Symbol" w:eastAsiaTheme="minorHAnsi" w:hAnsi="Symbol"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C30333"/>
    <w:multiLevelType w:val="hybridMultilevel"/>
    <w:tmpl w:val="A5FC2D54"/>
    <w:lvl w:ilvl="0" w:tplc="65EA47EC">
      <w:start w:val="1"/>
      <w:numFmt w:val="decimal"/>
      <w:pStyle w:val="Captionfigure"/>
      <w:lvlText w:val="Figure %1:"/>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071478"/>
    <w:multiLevelType w:val="hybridMultilevel"/>
    <w:tmpl w:val="16D2B96E"/>
    <w:lvl w:ilvl="0" w:tplc="3A9CF91A">
      <w:start w:val="1"/>
      <w:numFmt w:val="decimal"/>
      <w:pStyle w:val="ACMAFigureHeader"/>
      <w:lvlText w:val="Figure %1: "/>
      <w:lvlJc w:val="left"/>
      <w:pPr>
        <w:tabs>
          <w:tab w:val="num" w:pos="1021"/>
        </w:tabs>
        <w:ind w:left="1021" w:hanging="102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755B6"/>
    <w:multiLevelType w:val="hybridMultilevel"/>
    <w:tmpl w:val="058875E6"/>
    <w:lvl w:ilvl="0" w:tplc="3C40B64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96B7E98"/>
    <w:multiLevelType w:val="multilevel"/>
    <w:tmpl w:val="B23C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CA4D29"/>
    <w:multiLevelType w:val="hybridMultilevel"/>
    <w:tmpl w:val="6B287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757AE6"/>
    <w:multiLevelType w:val="hybridMultilevel"/>
    <w:tmpl w:val="4BAEE1E2"/>
    <w:lvl w:ilvl="0" w:tplc="0DA4929C">
      <w:start w:val="1"/>
      <w:numFmt w:val="decimal"/>
      <w:pStyle w:val="Caption"/>
      <w:lvlText w:val="Table %1:"/>
      <w:lvlJc w:val="left"/>
      <w:pPr>
        <w:tabs>
          <w:tab w:val="num" w:pos="964"/>
        </w:tabs>
        <w:ind w:left="964" w:hanging="9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10897"/>
    <w:multiLevelType w:val="hybridMultilevel"/>
    <w:tmpl w:val="5B6E263A"/>
    <w:lvl w:ilvl="0" w:tplc="7C22A95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9"/>
  </w:num>
  <w:num w:numId="6">
    <w:abstractNumId w:val="24"/>
  </w:num>
  <w:num w:numId="7">
    <w:abstractNumId w:val="18"/>
  </w:num>
  <w:num w:numId="8">
    <w:abstractNumId w:val="23"/>
  </w:num>
  <w:num w:numId="9">
    <w:abstractNumId w:val="28"/>
  </w:num>
  <w:num w:numId="10">
    <w:abstractNumId w:val="6"/>
  </w:num>
  <w:num w:numId="11">
    <w:abstractNumId w:val="4"/>
  </w:num>
  <w:num w:numId="12">
    <w:abstractNumId w:val="3"/>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11"/>
  </w:num>
  <w:num w:numId="17">
    <w:abstractNumId w:val="2"/>
    <w:lvlOverride w:ilvl="0">
      <w:startOverride w:val="1"/>
    </w:lvlOverride>
  </w:num>
  <w:num w:numId="18">
    <w:abstractNumId w:val="5"/>
  </w:num>
  <w:num w:numId="19">
    <w:abstractNumId w:val="22"/>
  </w:num>
  <w:num w:numId="20">
    <w:abstractNumId w:val="10"/>
  </w:num>
  <w:num w:numId="21">
    <w:abstractNumId w:val="22"/>
  </w:num>
  <w:num w:numId="22">
    <w:abstractNumId w:val="22"/>
  </w:num>
  <w:num w:numId="23">
    <w:abstractNumId w:val="22"/>
  </w:num>
  <w:num w:numId="24">
    <w:abstractNumId w:val="20"/>
  </w:num>
  <w:num w:numId="25">
    <w:abstractNumId w:val="19"/>
  </w:num>
  <w:num w:numId="26">
    <w:abstractNumId w:val="27"/>
  </w:num>
  <w:num w:numId="27">
    <w:abstractNumId w:val="8"/>
  </w:num>
  <w:num w:numId="28">
    <w:abstractNumId w:val="16"/>
  </w:num>
  <w:num w:numId="29">
    <w:abstractNumId w:val="25"/>
  </w:num>
  <w:num w:numId="30">
    <w:abstractNumId w:val="17"/>
  </w:num>
  <w:num w:numId="31">
    <w:abstractNumId w:val="17"/>
  </w:num>
  <w:num w:numId="32">
    <w:abstractNumId w:val="12"/>
  </w:num>
  <w:num w:numId="33">
    <w:abstractNumId w:val="29"/>
  </w:num>
  <w:num w:numId="34">
    <w:abstractNumId w:val="14"/>
  </w:num>
  <w:num w:numId="35">
    <w:abstractNumId w:val="21"/>
  </w:num>
  <w:num w:numId="36">
    <w:abstractNumId w:val="15"/>
  </w:num>
  <w:num w:numId="37">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 w:numId="39">
    <w:abstractNumId w:val="7"/>
  </w:num>
  <w:num w:numId="40">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284"/>
  <w:evenAndOddHeaders/>
  <w:characterSpacingControl w:val="doNotCompress"/>
  <w:hdrShapeDefaults>
    <o:shapedefaults v:ext="edit" spidmax="2050">
      <o:colormru v:ext="edit" colors="red,#4d4d4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7A"/>
    <w:rsid w:val="0000738F"/>
    <w:rsid w:val="00010661"/>
    <w:rsid w:val="00010667"/>
    <w:rsid w:val="00011F30"/>
    <w:rsid w:val="000129D5"/>
    <w:rsid w:val="00013458"/>
    <w:rsid w:val="00013D1A"/>
    <w:rsid w:val="00015090"/>
    <w:rsid w:val="00015AE7"/>
    <w:rsid w:val="00016103"/>
    <w:rsid w:val="00016E21"/>
    <w:rsid w:val="00017152"/>
    <w:rsid w:val="0001719C"/>
    <w:rsid w:val="000207EA"/>
    <w:rsid w:val="00021048"/>
    <w:rsid w:val="00021EA9"/>
    <w:rsid w:val="0002224E"/>
    <w:rsid w:val="000224E7"/>
    <w:rsid w:val="00023A36"/>
    <w:rsid w:val="000245E5"/>
    <w:rsid w:val="00024F01"/>
    <w:rsid w:val="00025137"/>
    <w:rsid w:val="00025F81"/>
    <w:rsid w:val="00026B87"/>
    <w:rsid w:val="00026F91"/>
    <w:rsid w:val="00026FB0"/>
    <w:rsid w:val="00027DBD"/>
    <w:rsid w:val="000318ED"/>
    <w:rsid w:val="0003260F"/>
    <w:rsid w:val="00032621"/>
    <w:rsid w:val="00032A6E"/>
    <w:rsid w:val="000335C3"/>
    <w:rsid w:val="00035D60"/>
    <w:rsid w:val="00035F38"/>
    <w:rsid w:val="00036068"/>
    <w:rsid w:val="000367A9"/>
    <w:rsid w:val="0003696B"/>
    <w:rsid w:val="000376BC"/>
    <w:rsid w:val="00037700"/>
    <w:rsid w:val="00037D08"/>
    <w:rsid w:val="000432A4"/>
    <w:rsid w:val="000439FB"/>
    <w:rsid w:val="00043CEA"/>
    <w:rsid w:val="00043E8F"/>
    <w:rsid w:val="00045291"/>
    <w:rsid w:val="0004612F"/>
    <w:rsid w:val="000467D1"/>
    <w:rsid w:val="00046983"/>
    <w:rsid w:val="00046F34"/>
    <w:rsid w:val="000471A9"/>
    <w:rsid w:val="0004764C"/>
    <w:rsid w:val="0005011A"/>
    <w:rsid w:val="0005045A"/>
    <w:rsid w:val="00051351"/>
    <w:rsid w:val="00051B56"/>
    <w:rsid w:val="00051BCF"/>
    <w:rsid w:val="00051C1E"/>
    <w:rsid w:val="000533D9"/>
    <w:rsid w:val="000539AB"/>
    <w:rsid w:val="000539F9"/>
    <w:rsid w:val="00053B62"/>
    <w:rsid w:val="00054C27"/>
    <w:rsid w:val="00055EC3"/>
    <w:rsid w:val="000563CE"/>
    <w:rsid w:val="00057591"/>
    <w:rsid w:val="00057FA8"/>
    <w:rsid w:val="00061E47"/>
    <w:rsid w:val="00065811"/>
    <w:rsid w:val="000659B6"/>
    <w:rsid w:val="00065CE2"/>
    <w:rsid w:val="0006686F"/>
    <w:rsid w:val="0006722A"/>
    <w:rsid w:val="0006743B"/>
    <w:rsid w:val="00067D50"/>
    <w:rsid w:val="00070740"/>
    <w:rsid w:val="00070FBD"/>
    <w:rsid w:val="00071150"/>
    <w:rsid w:val="000716D3"/>
    <w:rsid w:val="00071ADE"/>
    <w:rsid w:val="00072063"/>
    <w:rsid w:val="000726B9"/>
    <w:rsid w:val="000732CF"/>
    <w:rsid w:val="00073DC3"/>
    <w:rsid w:val="00073E98"/>
    <w:rsid w:val="00075B96"/>
    <w:rsid w:val="0007696D"/>
    <w:rsid w:val="00076B6D"/>
    <w:rsid w:val="00076BB4"/>
    <w:rsid w:val="000804CE"/>
    <w:rsid w:val="0008196A"/>
    <w:rsid w:val="00083421"/>
    <w:rsid w:val="00083B05"/>
    <w:rsid w:val="0008681C"/>
    <w:rsid w:val="000876F6"/>
    <w:rsid w:val="00090310"/>
    <w:rsid w:val="000903CE"/>
    <w:rsid w:val="000915ED"/>
    <w:rsid w:val="000918DB"/>
    <w:rsid w:val="00091D20"/>
    <w:rsid w:val="0009209D"/>
    <w:rsid w:val="00092FE8"/>
    <w:rsid w:val="00093EBF"/>
    <w:rsid w:val="00093F6B"/>
    <w:rsid w:val="0009463C"/>
    <w:rsid w:val="00095EA2"/>
    <w:rsid w:val="00096048"/>
    <w:rsid w:val="000969BD"/>
    <w:rsid w:val="000969BF"/>
    <w:rsid w:val="000A07C4"/>
    <w:rsid w:val="000A0C22"/>
    <w:rsid w:val="000A1400"/>
    <w:rsid w:val="000A225D"/>
    <w:rsid w:val="000A2291"/>
    <w:rsid w:val="000A3C43"/>
    <w:rsid w:val="000A4547"/>
    <w:rsid w:val="000A4A51"/>
    <w:rsid w:val="000A5D2B"/>
    <w:rsid w:val="000A64F8"/>
    <w:rsid w:val="000A7091"/>
    <w:rsid w:val="000B1A79"/>
    <w:rsid w:val="000B2D94"/>
    <w:rsid w:val="000B3777"/>
    <w:rsid w:val="000B3EC4"/>
    <w:rsid w:val="000B4664"/>
    <w:rsid w:val="000B5DE3"/>
    <w:rsid w:val="000B6EBA"/>
    <w:rsid w:val="000C0A57"/>
    <w:rsid w:val="000C119B"/>
    <w:rsid w:val="000C1A58"/>
    <w:rsid w:val="000C230C"/>
    <w:rsid w:val="000C23FD"/>
    <w:rsid w:val="000C26A1"/>
    <w:rsid w:val="000C2BBB"/>
    <w:rsid w:val="000C486D"/>
    <w:rsid w:val="000C6A61"/>
    <w:rsid w:val="000C6AB4"/>
    <w:rsid w:val="000D06E0"/>
    <w:rsid w:val="000D0C29"/>
    <w:rsid w:val="000D1615"/>
    <w:rsid w:val="000D170C"/>
    <w:rsid w:val="000D1FDE"/>
    <w:rsid w:val="000D2021"/>
    <w:rsid w:val="000D2807"/>
    <w:rsid w:val="000D33DB"/>
    <w:rsid w:val="000D378D"/>
    <w:rsid w:val="000D3C72"/>
    <w:rsid w:val="000D5E5B"/>
    <w:rsid w:val="000D71D9"/>
    <w:rsid w:val="000D76E0"/>
    <w:rsid w:val="000D7E8B"/>
    <w:rsid w:val="000E15D8"/>
    <w:rsid w:val="000E4449"/>
    <w:rsid w:val="000E4DBA"/>
    <w:rsid w:val="000E6097"/>
    <w:rsid w:val="000E6365"/>
    <w:rsid w:val="000E7921"/>
    <w:rsid w:val="000E7AAE"/>
    <w:rsid w:val="000F22BE"/>
    <w:rsid w:val="000F27EA"/>
    <w:rsid w:val="000F61F7"/>
    <w:rsid w:val="000F783D"/>
    <w:rsid w:val="000F79B4"/>
    <w:rsid w:val="000F7F30"/>
    <w:rsid w:val="00103829"/>
    <w:rsid w:val="001042A4"/>
    <w:rsid w:val="00106F00"/>
    <w:rsid w:val="00107883"/>
    <w:rsid w:val="0010788B"/>
    <w:rsid w:val="00107B9E"/>
    <w:rsid w:val="001107BA"/>
    <w:rsid w:val="0011142F"/>
    <w:rsid w:val="00111868"/>
    <w:rsid w:val="00111B84"/>
    <w:rsid w:val="00111FCE"/>
    <w:rsid w:val="00112A91"/>
    <w:rsid w:val="00112C41"/>
    <w:rsid w:val="00112E14"/>
    <w:rsid w:val="0011363D"/>
    <w:rsid w:val="00113899"/>
    <w:rsid w:val="00114769"/>
    <w:rsid w:val="00115B35"/>
    <w:rsid w:val="00116A81"/>
    <w:rsid w:val="00116B74"/>
    <w:rsid w:val="00117400"/>
    <w:rsid w:val="00117F6F"/>
    <w:rsid w:val="00120FB3"/>
    <w:rsid w:val="00121DD3"/>
    <w:rsid w:val="001229A5"/>
    <w:rsid w:val="00122ADF"/>
    <w:rsid w:val="00122CF8"/>
    <w:rsid w:val="0012364E"/>
    <w:rsid w:val="0012489B"/>
    <w:rsid w:val="001258D1"/>
    <w:rsid w:val="001274C6"/>
    <w:rsid w:val="00130017"/>
    <w:rsid w:val="00130101"/>
    <w:rsid w:val="0013011A"/>
    <w:rsid w:val="00130F91"/>
    <w:rsid w:val="00131E1E"/>
    <w:rsid w:val="001349ED"/>
    <w:rsid w:val="00136922"/>
    <w:rsid w:val="00137424"/>
    <w:rsid w:val="00140318"/>
    <w:rsid w:val="001410CF"/>
    <w:rsid w:val="00141AD9"/>
    <w:rsid w:val="00141F10"/>
    <w:rsid w:val="00142810"/>
    <w:rsid w:val="001448DB"/>
    <w:rsid w:val="00144AC5"/>
    <w:rsid w:val="001466FC"/>
    <w:rsid w:val="00146CE6"/>
    <w:rsid w:val="00147743"/>
    <w:rsid w:val="00147A79"/>
    <w:rsid w:val="0015034A"/>
    <w:rsid w:val="0015048C"/>
    <w:rsid w:val="0015187D"/>
    <w:rsid w:val="00152903"/>
    <w:rsid w:val="0015322B"/>
    <w:rsid w:val="00153FD5"/>
    <w:rsid w:val="0015614F"/>
    <w:rsid w:val="0015615F"/>
    <w:rsid w:val="001577C2"/>
    <w:rsid w:val="001579C9"/>
    <w:rsid w:val="00160945"/>
    <w:rsid w:val="00162C07"/>
    <w:rsid w:val="001633C4"/>
    <w:rsid w:val="00165D55"/>
    <w:rsid w:val="00166A37"/>
    <w:rsid w:val="00167B2E"/>
    <w:rsid w:val="001704D5"/>
    <w:rsid w:val="00171591"/>
    <w:rsid w:val="00171FBA"/>
    <w:rsid w:val="0017211D"/>
    <w:rsid w:val="00172EE1"/>
    <w:rsid w:val="00172FDA"/>
    <w:rsid w:val="00173981"/>
    <w:rsid w:val="00173F27"/>
    <w:rsid w:val="00174EB6"/>
    <w:rsid w:val="00175393"/>
    <w:rsid w:val="00176154"/>
    <w:rsid w:val="00176416"/>
    <w:rsid w:val="0017719D"/>
    <w:rsid w:val="00180532"/>
    <w:rsid w:val="00180FC3"/>
    <w:rsid w:val="001819EB"/>
    <w:rsid w:val="00181C62"/>
    <w:rsid w:val="00183FD7"/>
    <w:rsid w:val="00184420"/>
    <w:rsid w:val="00184C35"/>
    <w:rsid w:val="0018517A"/>
    <w:rsid w:val="00185CAB"/>
    <w:rsid w:val="001861A5"/>
    <w:rsid w:val="00186375"/>
    <w:rsid w:val="0018647D"/>
    <w:rsid w:val="001875B7"/>
    <w:rsid w:val="00187CB3"/>
    <w:rsid w:val="0019050A"/>
    <w:rsid w:val="00190B79"/>
    <w:rsid w:val="001910D4"/>
    <w:rsid w:val="00191A4F"/>
    <w:rsid w:val="00194816"/>
    <w:rsid w:val="00194F39"/>
    <w:rsid w:val="00195920"/>
    <w:rsid w:val="00196440"/>
    <w:rsid w:val="001969F0"/>
    <w:rsid w:val="00196A40"/>
    <w:rsid w:val="001976E3"/>
    <w:rsid w:val="001A2817"/>
    <w:rsid w:val="001A2D10"/>
    <w:rsid w:val="001A3EE5"/>
    <w:rsid w:val="001A44EC"/>
    <w:rsid w:val="001A634A"/>
    <w:rsid w:val="001A7046"/>
    <w:rsid w:val="001A7DE4"/>
    <w:rsid w:val="001B09AF"/>
    <w:rsid w:val="001B1BCA"/>
    <w:rsid w:val="001B1C43"/>
    <w:rsid w:val="001B2919"/>
    <w:rsid w:val="001B403A"/>
    <w:rsid w:val="001B4491"/>
    <w:rsid w:val="001B4827"/>
    <w:rsid w:val="001B58AA"/>
    <w:rsid w:val="001B6B50"/>
    <w:rsid w:val="001B7E48"/>
    <w:rsid w:val="001B7FDF"/>
    <w:rsid w:val="001C03B5"/>
    <w:rsid w:val="001C17CE"/>
    <w:rsid w:val="001C3253"/>
    <w:rsid w:val="001C36CA"/>
    <w:rsid w:val="001C3A3D"/>
    <w:rsid w:val="001C44D1"/>
    <w:rsid w:val="001C4C25"/>
    <w:rsid w:val="001C5386"/>
    <w:rsid w:val="001C568B"/>
    <w:rsid w:val="001C575F"/>
    <w:rsid w:val="001C605A"/>
    <w:rsid w:val="001C6AEE"/>
    <w:rsid w:val="001C6C49"/>
    <w:rsid w:val="001C7088"/>
    <w:rsid w:val="001C7630"/>
    <w:rsid w:val="001D0BD9"/>
    <w:rsid w:val="001D2356"/>
    <w:rsid w:val="001D2394"/>
    <w:rsid w:val="001D467A"/>
    <w:rsid w:val="001D51FA"/>
    <w:rsid w:val="001D5A73"/>
    <w:rsid w:val="001D6D15"/>
    <w:rsid w:val="001D751E"/>
    <w:rsid w:val="001E09D0"/>
    <w:rsid w:val="001E40E3"/>
    <w:rsid w:val="001E4A77"/>
    <w:rsid w:val="001E57E9"/>
    <w:rsid w:val="001F18E2"/>
    <w:rsid w:val="001F1F67"/>
    <w:rsid w:val="001F50F7"/>
    <w:rsid w:val="001F5CD5"/>
    <w:rsid w:val="001F7558"/>
    <w:rsid w:val="001F79B3"/>
    <w:rsid w:val="002009DE"/>
    <w:rsid w:val="00200FB7"/>
    <w:rsid w:val="002015BA"/>
    <w:rsid w:val="00201EE2"/>
    <w:rsid w:val="002037D2"/>
    <w:rsid w:val="00203DF3"/>
    <w:rsid w:val="00204B96"/>
    <w:rsid w:val="00205AE2"/>
    <w:rsid w:val="00205B57"/>
    <w:rsid w:val="00206B0F"/>
    <w:rsid w:val="002077CC"/>
    <w:rsid w:val="002114E8"/>
    <w:rsid w:val="00211A2D"/>
    <w:rsid w:val="00213436"/>
    <w:rsid w:val="0021426C"/>
    <w:rsid w:val="002157E0"/>
    <w:rsid w:val="0021617D"/>
    <w:rsid w:val="00216A57"/>
    <w:rsid w:val="00217448"/>
    <w:rsid w:val="00220C11"/>
    <w:rsid w:val="00221C97"/>
    <w:rsid w:val="00221E5A"/>
    <w:rsid w:val="0022334F"/>
    <w:rsid w:val="00225A58"/>
    <w:rsid w:val="0022615F"/>
    <w:rsid w:val="00226819"/>
    <w:rsid w:val="00226FF0"/>
    <w:rsid w:val="00231967"/>
    <w:rsid w:val="00232261"/>
    <w:rsid w:val="0023232F"/>
    <w:rsid w:val="00232730"/>
    <w:rsid w:val="00233101"/>
    <w:rsid w:val="002336B8"/>
    <w:rsid w:val="00233817"/>
    <w:rsid w:val="00234384"/>
    <w:rsid w:val="00234EDF"/>
    <w:rsid w:val="00235FE0"/>
    <w:rsid w:val="002367FF"/>
    <w:rsid w:val="00240434"/>
    <w:rsid w:val="00240CE9"/>
    <w:rsid w:val="00241A16"/>
    <w:rsid w:val="002434BA"/>
    <w:rsid w:val="002437BA"/>
    <w:rsid w:val="00243853"/>
    <w:rsid w:val="00243BCC"/>
    <w:rsid w:val="00244FDE"/>
    <w:rsid w:val="00246089"/>
    <w:rsid w:val="00246093"/>
    <w:rsid w:val="00246702"/>
    <w:rsid w:val="002469FA"/>
    <w:rsid w:val="00246E23"/>
    <w:rsid w:val="0024719E"/>
    <w:rsid w:val="00247BCA"/>
    <w:rsid w:val="00247C59"/>
    <w:rsid w:val="00247F2E"/>
    <w:rsid w:val="002502F1"/>
    <w:rsid w:val="00250ADC"/>
    <w:rsid w:val="00250B07"/>
    <w:rsid w:val="00251C8A"/>
    <w:rsid w:val="00254824"/>
    <w:rsid w:val="00254836"/>
    <w:rsid w:val="00255AE9"/>
    <w:rsid w:val="00255B2B"/>
    <w:rsid w:val="00255F6C"/>
    <w:rsid w:val="00256B16"/>
    <w:rsid w:val="002571B5"/>
    <w:rsid w:val="00257553"/>
    <w:rsid w:val="00257666"/>
    <w:rsid w:val="002608E3"/>
    <w:rsid w:val="00260FB2"/>
    <w:rsid w:val="0026175A"/>
    <w:rsid w:val="00262128"/>
    <w:rsid w:val="00264D83"/>
    <w:rsid w:val="0026520D"/>
    <w:rsid w:val="002678B6"/>
    <w:rsid w:val="0027165D"/>
    <w:rsid w:val="00271B87"/>
    <w:rsid w:val="00273CEB"/>
    <w:rsid w:val="00273F8D"/>
    <w:rsid w:val="0027401F"/>
    <w:rsid w:val="002743A0"/>
    <w:rsid w:val="00274529"/>
    <w:rsid w:val="002772A8"/>
    <w:rsid w:val="00280128"/>
    <w:rsid w:val="0028100C"/>
    <w:rsid w:val="00281C89"/>
    <w:rsid w:val="0028282F"/>
    <w:rsid w:val="0028332D"/>
    <w:rsid w:val="00283C0A"/>
    <w:rsid w:val="0028403E"/>
    <w:rsid w:val="002855BF"/>
    <w:rsid w:val="00285D7C"/>
    <w:rsid w:val="00286C0A"/>
    <w:rsid w:val="00286E06"/>
    <w:rsid w:val="0028739E"/>
    <w:rsid w:val="00287464"/>
    <w:rsid w:val="00287EC9"/>
    <w:rsid w:val="0029124C"/>
    <w:rsid w:val="00291620"/>
    <w:rsid w:val="00292E0B"/>
    <w:rsid w:val="002941A9"/>
    <w:rsid w:val="0029539C"/>
    <w:rsid w:val="0029564F"/>
    <w:rsid w:val="0029593B"/>
    <w:rsid w:val="00296361"/>
    <w:rsid w:val="002963F2"/>
    <w:rsid w:val="002978A7"/>
    <w:rsid w:val="00297A1C"/>
    <w:rsid w:val="00297FC5"/>
    <w:rsid w:val="002A0417"/>
    <w:rsid w:val="002A0C98"/>
    <w:rsid w:val="002A16D8"/>
    <w:rsid w:val="002A1BC8"/>
    <w:rsid w:val="002A28BF"/>
    <w:rsid w:val="002A3EF2"/>
    <w:rsid w:val="002A6102"/>
    <w:rsid w:val="002A61A9"/>
    <w:rsid w:val="002A7D9B"/>
    <w:rsid w:val="002B058F"/>
    <w:rsid w:val="002B0DED"/>
    <w:rsid w:val="002B19A2"/>
    <w:rsid w:val="002B1DF0"/>
    <w:rsid w:val="002B1EDC"/>
    <w:rsid w:val="002B2919"/>
    <w:rsid w:val="002B295E"/>
    <w:rsid w:val="002B381A"/>
    <w:rsid w:val="002B3BCB"/>
    <w:rsid w:val="002B40DF"/>
    <w:rsid w:val="002B4FCC"/>
    <w:rsid w:val="002B58A6"/>
    <w:rsid w:val="002B5D60"/>
    <w:rsid w:val="002B7408"/>
    <w:rsid w:val="002B7CFD"/>
    <w:rsid w:val="002C0530"/>
    <w:rsid w:val="002C1198"/>
    <w:rsid w:val="002C210F"/>
    <w:rsid w:val="002C2AE0"/>
    <w:rsid w:val="002C36EF"/>
    <w:rsid w:val="002C5782"/>
    <w:rsid w:val="002C673D"/>
    <w:rsid w:val="002C6814"/>
    <w:rsid w:val="002C6844"/>
    <w:rsid w:val="002D0AC7"/>
    <w:rsid w:val="002D2097"/>
    <w:rsid w:val="002D24D0"/>
    <w:rsid w:val="002D2B81"/>
    <w:rsid w:val="002D3600"/>
    <w:rsid w:val="002D3BCD"/>
    <w:rsid w:val="002D3F53"/>
    <w:rsid w:val="002D45C6"/>
    <w:rsid w:val="002D61F4"/>
    <w:rsid w:val="002D679C"/>
    <w:rsid w:val="002D6ED6"/>
    <w:rsid w:val="002E08E7"/>
    <w:rsid w:val="002E1946"/>
    <w:rsid w:val="002E1F90"/>
    <w:rsid w:val="002E23E1"/>
    <w:rsid w:val="002E4DDC"/>
    <w:rsid w:val="002E52A5"/>
    <w:rsid w:val="002E7134"/>
    <w:rsid w:val="002E755B"/>
    <w:rsid w:val="002E7DFF"/>
    <w:rsid w:val="002F12B3"/>
    <w:rsid w:val="002F146D"/>
    <w:rsid w:val="002F18A0"/>
    <w:rsid w:val="002F2425"/>
    <w:rsid w:val="002F29AD"/>
    <w:rsid w:val="002F4D6E"/>
    <w:rsid w:val="002F63E8"/>
    <w:rsid w:val="002F72CA"/>
    <w:rsid w:val="002F7CE8"/>
    <w:rsid w:val="00300223"/>
    <w:rsid w:val="00302480"/>
    <w:rsid w:val="00302758"/>
    <w:rsid w:val="00303C65"/>
    <w:rsid w:val="0030581D"/>
    <w:rsid w:val="003075C2"/>
    <w:rsid w:val="00311DAC"/>
    <w:rsid w:val="00312168"/>
    <w:rsid w:val="003134DE"/>
    <w:rsid w:val="003157BA"/>
    <w:rsid w:val="00315B05"/>
    <w:rsid w:val="003165AE"/>
    <w:rsid w:val="003165E6"/>
    <w:rsid w:val="00316A7B"/>
    <w:rsid w:val="003173F0"/>
    <w:rsid w:val="003178F0"/>
    <w:rsid w:val="0032046D"/>
    <w:rsid w:val="003215B5"/>
    <w:rsid w:val="003221CF"/>
    <w:rsid w:val="003225DD"/>
    <w:rsid w:val="003233ED"/>
    <w:rsid w:val="0032343A"/>
    <w:rsid w:val="00323936"/>
    <w:rsid w:val="00324915"/>
    <w:rsid w:val="00324C50"/>
    <w:rsid w:val="00324D9F"/>
    <w:rsid w:val="003253EE"/>
    <w:rsid w:val="00325883"/>
    <w:rsid w:val="00325FE7"/>
    <w:rsid w:val="00326FBE"/>
    <w:rsid w:val="003276E1"/>
    <w:rsid w:val="00327948"/>
    <w:rsid w:val="0033000F"/>
    <w:rsid w:val="00331B19"/>
    <w:rsid w:val="00332011"/>
    <w:rsid w:val="00332518"/>
    <w:rsid w:val="00332925"/>
    <w:rsid w:val="00332E3F"/>
    <w:rsid w:val="003332ED"/>
    <w:rsid w:val="003346EE"/>
    <w:rsid w:val="00334CE6"/>
    <w:rsid w:val="00335AFD"/>
    <w:rsid w:val="003368DC"/>
    <w:rsid w:val="00341311"/>
    <w:rsid w:val="00341593"/>
    <w:rsid w:val="0034199C"/>
    <w:rsid w:val="0034274D"/>
    <w:rsid w:val="00342E47"/>
    <w:rsid w:val="00343399"/>
    <w:rsid w:val="00344879"/>
    <w:rsid w:val="0034490B"/>
    <w:rsid w:val="00345927"/>
    <w:rsid w:val="0034647B"/>
    <w:rsid w:val="00346681"/>
    <w:rsid w:val="00347957"/>
    <w:rsid w:val="003504F7"/>
    <w:rsid w:val="00350584"/>
    <w:rsid w:val="0035103B"/>
    <w:rsid w:val="00351857"/>
    <w:rsid w:val="0035191C"/>
    <w:rsid w:val="00352F62"/>
    <w:rsid w:val="003545E8"/>
    <w:rsid w:val="00355355"/>
    <w:rsid w:val="003562FC"/>
    <w:rsid w:val="003563B4"/>
    <w:rsid w:val="003603AA"/>
    <w:rsid w:val="003610E1"/>
    <w:rsid w:val="00362A07"/>
    <w:rsid w:val="00362C11"/>
    <w:rsid w:val="00364318"/>
    <w:rsid w:val="00364A4B"/>
    <w:rsid w:val="00364E42"/>
    <w:rsid w:val="00366149"/>
    <w:rsid w:val="003671BE"/>
    <w:rsid w:val="0036743D"/>
    <w:rsid w:val="003712FF"/>
    <w:rsid w:val="00371BB3"/>
    <w:rsid w:val="0037214C"/>
    <w:rsid w:val="003722BA"/>
    <w:rsid w:val="0037238A"/>
    <w:rsid w:val="00372485"/>
    <w:rsid w:val="0037274E"/>
    <w:rsid w:val="00372EC3"/>
    <w:rsid w:val="00373200"/>
    <w:rsid w:val="003732D2"/>
    <w:rsid w:val="0037367F"/>
    <w:rsid w:val="00375585"/>
    <w:rsid w:val="00375A65"/>
    <w:rsid w:val="00375EF5"/>
    <w:rsid w:val="003767A5"/>
    <w:rsid w:val="00376B40"/>
    <w:rsid w:val="00377654"/>
    <w:rsid w:val="00377E33"/>
    <w:rsid w:val="00381B83"/>
    <w:rsid w:val="00381C03"/>
    <w:rsid w:val="00381D15"/>
    <w:rsid w:val="00381DC5"/>
    <w:rsid w:val="00382F81"/>
    <w:rsid w:val="00385254"/>
    <w:rsid w:val="003856A2"/>
    <w:rsid w:val="00386B9A"/>
    <w:rsid w:val="00386E6D"/>
    <w:rsid w:val="00387744"/>
    <w:rsid w:val="00387B32"/>
    <w:rsid w:val="0039071F"/>
    <w:rsid w:val="00390D91"/>
    <w:rsid w:val="0039195E"/>
    <w:rsid w:val="00392DF6"/>
    <w:rsid w:val="003933E8"/>
    <w:rsid w:val="00394031"/>
    <w:rsid w:val="00395554"/>
    <w:rsid w:val="003964CF"/>
    <w:rsid w:val="00396DC2"/>
    <w:rsid w:val="0039740C"/>
    <w:rsid w:val="003A04DB"/>
    <w:rsid w:val="003A098A"/>
    <w:rsid w:val="003A121D"/>
    <w:rsid w:val="003A1E9A"/>
    <w:rsid w:val="003A2FC2"/>
    <w:rsid w:val="003A330E"/>
    <w:rsid w:val="003A441B"/>
    <w:rsid w:val="003A4E4C"/>
    <w:rsid w:val="003A5F5B"/>
    <w:rsid w:val="003A6505"/>
    <w:rsid w:val="003A65E9"/>
    <w:rsid w:val="003A6612"/>
    <w:rsid w:val="003A6D22"/>
    <w:rsid w:val="003A789A"/>
    <w:rsid w:val="003B12EC"/>
    <w:rsid w:val="003B2495"/>
    <w:rsid w:val="003B38AF"/>
    <w:rsid w:val="003B3F6E"/>
    <w:rsid w:val="003B47EB"/>
    <w:rsid w:val="003B4C68"/>
    <w:rsid w:val="003B565B"/>
    <w:rsid w:val="003B63C8"/>
    <w:rsid w:val="003C03B8"/>
    <w:rsid w:val="003C1612"/>
    <w:rsid w:val="003C2644"/>
    <w:rsid w:val="003C27E7"/>
    <w:rsid w:val="003C50A1"/>
    <w:rsid w:val="003C58A0"/>
    <w:rsid w:val="003C6E86"/>
    <w:rsid w:val="003C77E0"/>
    <w:rsid w:val="003C787A"/>
    <w:rsid w:val="003C7CE8"/>
    <w:rsid w:val="003D0737"/>
    <w:rsid w:val="003D17D7"/>
    <w:rsid w:val="003D2678"/>
    <w:rsid w:val="003D295B"/>
    <w:rsid w:val="003D3608"/>
    <w:rsid w:val="003D71A3"/>
    <w:rsid w:val="003D7D3F"/>
    <w:rsid w:val="003D7F08"/>
    <w:rsid w:val="003E1D47"/>
    <w:rsid w:val="003E2483"/>
    <w:rsid w:val="003E2B8A"/>
    <w:rsid w:val="003E3669"/>
    <w:rsid w:val="003E3846"/>
    <w:rsid w:val="003E396F"/>
    <w:rsid w:val="003E51D6"/>
    <w:rsid w:val="003E556B"/>
    <w:rsid w:val="003E6779"/>
    <w:rsid w:val="003F03DD"/>
    <w:rsid w:val="003F10EE"/>
    <w:rsid w:val="003F16F6"/>
    <w:rsid w:val="003F1F9D"/>
    <w:rsid w:val="003F375E"/>
    <w:rsid w:val="003F4D96"/>
    <w:rsid w:val="003F4DC7"/>
    <w:rsid w:val="003F5235"/>
    <w:rsid w:val="003F5E7F"/>
    <w:rsid w:val="003F7D0F"/>
    <w:rsid w:val="004004F2"/>
    <w:rsid w:val="00400EF8"/>
    <w:rsid w:val="0040124C"/>
    <w:rsid w:val="0040244B"/>
    <w:rsid w:val="004027E4"/>
    <w:rsid w:val="0040303E"/>
    <w:rsid w:val="00404E6A"/>
    <w:rsid w:val="00405ED8"/>
    <w:rsid w:val="004076E8"/>
    <w:rsid w:val="0041071D"/>
    <w:rsid w:val="0041146C"/>
    <w:rsid w:val="0041282E"/>
    <w:rsid w:val="00412E62"/>
    <w:rsid w:val="00413069"/>
    <w:rsid w:val="0041376C"/>
    <w:rsid w:val="00413C68"/>
    <w:rsid w:val="00414420"/>
    <w:rsid w:val="00414668"/>
    <w:rsid w:val="00414AFC"/>
    <w:rsid w:val="00414F69"/>
    <w:rsid w:val="004151A7"/>
    <w:rsid w:val="00415310"/>
    <w:rsid w:val="00415392"/>
    <w:rsid w:val="00415742"/>
    <w:rsid w:val="00415FFD"/>
    <w:rsid w:val="004170E6"/>
    <w:rsid w:val="00420258"/>
    <w:rsid w:val="0042039D"/>
    <w:rsid w:val="004203F1"/>
    <w:rsid w:val="0042139E"/>
    <w:rsid w:val="00421709"/>
    <w:rsid w:val="00423763"/>
    <w:rsid w:val="00423CB5"/>
    <w:rsid w:val="004264A2"/>
    <w:rsid w:val="00426E36"/>
    <w:rsid w:val="0042762F"/>
    <w:rsid w:val="00427DC7"/>
    <w:rsid w:val="00431613"/>
    <w:rsid w:val="00431792"/>
    <w:rsid w:val="004321C4"/>
    <w:rsid w:val="0043297A"/>
    <w:rsid w:val="00432EB2"/>
    <w:rsid w:val="00436240"/>
    <w:rsid w:val="0043714F"/>
    <w:rsid w:val="00437442"/>
    <w:rsid w:val="004417F7"/>
    <w:rsid w:val="004419BF"/>
    <w:rsid w:val="004438B5"/>
    <w:rsid w:val="00444AF5"/>
    <w:rsid w:val="00445697"/>
    <w:rsid w:val="004457F3"/>
    <w:rsid w:val="004460FD"/>
    <w:rsid w:val="00446F4E"/>
    <w:rsid w:val="00447037"/>
    <w:rsid w:val="00450AF3"/>
    <w:rsid w:val="00450D62"/>
    <w:rsid w:val="00450FBD"/>
    <w:rsid w:val="0045124D"/>
    <w:rsid w:val="004512A3"/>
    <w:rsid w:val="0045335F"/>
    <w:rsid w:val="0045378E"/>
    <w:rsid w:val="00453892"/>
    <w:rsid w:val="00454135"/>
    <w:rsid w:val="00454596"/>
    <w:rsid w:val="004545CF"/>
    <w:rsid w:val="00454EA2"/>
    <w:rsid w:val="0045605D"/>
    <w:rsid w:val="0045623A"/>
    <w:rsid w:val="00457B5F"/>
    <w:rsid w:val="0046059A"/>
    <w:rsid w:val="0046135B"/>
    <w:rsid w:val="00461D47"/>
    <w:rsid w:val="00463005"/>
    <w:rsid w:val="00463715"/>
    <w:rsid w:val="004648B0"/>
    <w:rsid w:val="00466171"/>
    <w:rsid w:val="0046618A"/>
    <w:rsid w:val="004706DD"/>
    <w:rsid w:val="0047180B"/>
    <w:rsid w:val="004718CC"/>
    <w:rsid w:val="00473CB3"/>
    <w:rsid w:val="004740E3"/>
    <w:rsid w:val="004778C7"/>
    <w:rsid w:val="00480685"/>
    <w:rsid w:val="00481695"/>
    <w:rsid w:val="00484422"/>
    <w:rsid w:val="00485568"/>
    <w:rsid w:val="00486EB1"/>
    <w:rsid w:val="004872D9"/>
    <w:rsid w:val="004910EE"/>
    <w:rsid w:val="004914D2"/>
    <w:rsid w:val="004940D6"/>
    <w:rsid w:val="00494ECF"/>
    <w:rsid w:val="004954BC"/>
    <w:rsid w:val="0049569A"/>
    <w:rsid w:val="00495A96"/>
    <w:rsid w:val="00495BB3"/>
    <w:rsid w:val="00496A15"/>
    <w:rsid w:val="00497D2C"/>
    <w:rsid w:val="00497F0D"/>
    <w:rsid w:val="004A0E50"/>
    <w:rsid w:val="004A1286"/>
    <w:rsid w:val="004A42DF"/>
    <w:rsid w:val="004A44FD"/>
    <w:rsid w:val="004A4E9A"/>
    <w:rsid w:val="004A52BC"/>
    <w:rsid w:val="004A56BB"/>
    <w:rsid w:val="004A5D7B"/>
    <w:rsid w:val="004A5FAA"/>
    <w:rsid w:val="004A6730"/>
    <w:rsid w:val="004A70D6"/>
    <w:rsid w:val="004A771E"/>
    <w:rsid w:val="004B1751"/>
    <w:rsid w:val="004B2C90"/>
    <w:rsid w:val="004B2D6C"/>
    <w:rsid w:val="004B4EDF"/>
    <w:rsid w:val="004C0253"/>
    <w:rsid w:val="004C0F54"/>
    <w:rsid w:val="004C3A01"/>
    <w:rsid w:val="004C6009"/>
    <w:rsid w:val="004C6176"/>
    <w:rsid w:val="004C6F42"/>
    <w:rsid w:val="004D0A88"/>
    <w:rsid w:val="004D0CA1"/>
    <w:rsid w:val="004D2E4E"/>
    <w:rsid w:val="004D2E65"/>
    <w:rsid w:val="004D3EA6"/>
    <w:rsid w:val="004D56FF"/>
    <w:rsid w:val="004D589D"/>
    <w:rsid w:val="004D6750"/>
    <w:rsid w:val="004E13AC"/>
    <w:rsid w:val="004E20F8"/>
    <w:rsid w:val="004E3434"/>
    <w:rsid w:val="004E3757"/>
    <w:rsid w:val="004E39D3"/>
    <w:rsid w:val="004E508A"/>
    <w:rsid w:val="004E524E"/>
    <w:rsid w:val="004E568D"/>
    <w:rsid w:val="004E616D"/>
    <w:rsid w:val="004F00A2"/>
    <w:rsid w:val="004F0A90"/>
    <w:rsid w:val="004F1A39"/>
    <w:rsid w:val="004F1BDE"/>
    <w:rsid w:val="004F23F4"/>
    <w:rsid w:val="004F2CEE"/>
    <w:rsid w:val="004F31CF"/>
    <w:rsid w:val="004F3F82"/>
    <w:rsid w:val="004F556E"/>
    <w:rsid w:val="004F591C"/>
    <w:rsid w:val="004F5F57"/>
    <w:rsid w:val="004F683A"/>
    <w:rsid w:val="004F7645"/>
    <w:rsid w:val="004F7ABD"/>
    <w:rsid w:val="004F7F44"/>
    <w:rsid w:val="004F7FDA"/>
    <w:rsid w:val="005004B3"/>
    <w:rsid w:val="005016E7"/>
    <w:rsid w:val="00501862"/>
    <w:rsid w:val="00502E95"/>
    <w:rsid w:val="00503747"/>
    <w:rsid w:val="005037B4"/>
    <w:rsid w:val="00503B3D"/>
    <w:rsid w:val="00504D6F"/>
    <w:rsid w:val="0050693D"/>
    <w:rsid w:val="00506BBC"/>
    <w:rsid w:val="00506D7C"/>
    <w:rsid w:val="005079BF"/>
    <w:rsid w:val="00510A98"/>
    <w:rsid w:val="00510C38"/>
    <w:rsid w:val="00510D01"/>
    <w:rsid w:val="00511526"/>
    <w:rsid w:val="0051154C"/>
    <w:rsid w:val="00511A42"/>
    <w:rsid w:val="0051269A"/>
    <w:rsid w:val="00513861"/>
    <w:rsid w:val="00514ECB"/>
    <w:rsid w:val="00515021"/>
    <w:rsid w:val="00515470"/>
    <w:rsid w:val="005157E0"/>
    <w:rsid w:val="005170B7"/>
    <w:rsid w:val="005174BD"/>
    <w:rsid w:val="005212CD"/>
    <w:rsid w:val="005219E7"/>
    <w:rsid w:val="00522995"/>
    <w:rsid w:val="005231D8"/>
    <w:rsid w:val="005240C6"/>
    <w:rsid w:val="0052482C"/>
    <w:rsid w:val="00525C7A"/>
    <w:rsid w:val="0052644F"/>
    <w:rsid w:val="00527FB5"/>
    <w:rsid w:val="005301F6"/>
    <w:rsid w:val="005304F9"/>
    <w:rsid w:val="00531606"/>
    <w:rsid w:val="00531B9A"/>
    <w:rsid w:val="00531D15"/>
    <w:rsid w:val="005338DA"/>
    <w:rsid w:val="005348ED"/>
    <w:rsid w:val="00537604"/>
    <w:rsid w:val="00537E31"/>
    <w:rsid w:val="00540346"/>
    <w:rsid w:val="00540EBC"/>
    <w:rsid w:val="0054133B"/>
    <w:rsid w:val="00541958"/>
    <w:rsid w:val="00541D5F"/>
    <w:rsid w:val="005422B0"/>
    <w:rsid w:val="005422DD"/>
    <w:rsid w:val="00542377"/>
    <w:rsid w:val="00542672"/>
    <w:rsid w:val="00542F38"/>
    <w:rsid w:val="00544BB4"/>
    <w:rsid w:val="00546238"/>
    <w:rsid w:val="005476EB"/>
    <w:rsid w:val="00550A5E"/>
    <w:rsid w:val="00550A7E"/>
    <w:rsid w:val="00550FB3"/>
    <w:rsid w:val="00551782"/>
    <w:rsid w:val="005518CF"/>
    <w:rsid w:val="005527CF"/>
    <w:rsid w:val="00553E87"/>
    <w:rsid w:val="00553EC5"/>
    <w:rsid w:val="00555632"/>
    <w:rsid w:val="00556858"/>
    <w:rsid w:val="00556F91"/>
    <w:rsid w:val="005575BE"/>
    <w:rsid w:val="0055769A"/>
    <w:rsid w:val="00560E65"/>
    <w:rsid w:val="00563EF1"/>
    <w:rsid w:val="005640F4"/>
    <w:rsid w:val="00566AB4"/>
    <w:rsid w:val="00566BF6"/>
    <w:rsid w:val="00566CAD"/>
    <w:rsid w:val="00571D31"/>
    <w:rsid w:val="00572C13"/>
    <w:rsid w:val="00572D96"/>
    <w:rsid w:val="00573812"/>
    <w:rsid w:val="00573FD0"/>
    <w:rsid w:val="005745E8"/>
    <w:rsid w:val="005753E9"/>
    <w:rsid w:val="005756FC"/>
    <w:rsid w:val="00575AC5"/>
    <w:rsid w:val="00575B0B"/>
    <w:rsid w:val="0057605D"/>
    <w:rsid w:val="00580A28"/>
    <w:rsid w:val="00580FC8"/>
    <w:rsid w:val="00581347"/>
    <w:rsid w:val="00581A81"/>
    <w:rsid w:val="00581AC9"/>
    <w:rsid w:val="00582440"/>
    <w:rsid w:val="00582BA4"/>
    <w:rsid w:val="00582BB7"/>
    <w:rsid w:val="005849F8"/>
    <w:rsid w:val="00585BAB"/>
    <w:rsid w:val="00585E6B"/>
    <w:rsid w:val="0059040D"/>
    <w:rsid w:val="005904F6"/>
    <w:rsid w:val="00591B2C"/>
    <w:rsid w:val="00592204"/>
    <w:rsid w:val="005938C4"/>
    <w:rsid w:val="005938DF"/>
    <w:rsid w:val="00593E82"/>
    <w:rsid w:val="0059414E"/>
    <w:rsid w:val="00594E9C"/>
    <w:rsid w:val="00597E82"/>
    <w:rsid w:val="005A097D"/>
    <w:rsid w:val="005A099B"/>
    <w:rsid w:val="005A20E9"/>
    <w:rsid w:val="005A29FC"/>
    <w:rsid w:val="005A2B60"/>
    <w:rsid w:val="005A2C0D"/>
    <w:rsid w:val="005A2D9C"/>
    <w:rsid w:val="005A3463"/>
    <w:rsid w:val="005A3D50"/>
    <w:rsid w:val="005A487E"/>
    <w:rsid w:val="005A4939"/>
    <w:rsid w:val="005A4A2F"/>
    <w:rsid w:val="005A55FE"/>
    <w:rsid w:val="005A5889"/>
    <w:rsid w:val="005A6A11"/>
    <w:rsid w:val="005A7602"/>
    <w:rsid w:val="005B0990"/>
    <w:rsid w:val="005B28FF"/>
    <w:rsid w:val="005B2F0D"/>
    <w:rsid w:val="005B3A78"/>
    <w:rsid w:val="005B4AED"/>
    <w:rsid w:val="005B4FB4"/>
    <w:rsid w:val="005B6EC4"/>
    <w:rsid w:val="005B7C89"/>
    <w:rsid w:val="005C074E"/>
    <w:rsid w:val="005C0B13"/>
    <w:rsid w:val="005C1671"/>
    <w:rsid w:val="005C34EF"/>
    <w:rsid w:val="005C4028"/>
    <w:rsid w:val="005C4874"/>
    <w:rsid w:val="005C5BD8"/>
    <w:rsid w:val="005D171F"/>
    <w:rsid w:val="005D2502"/>
    <w:rsid w:val="005D37CE"/>
    <w:rsid w:val="005D40BB"/>
    <w:rsid w:val="005D47F3"/>
    <w:rsid w:val="005D4882"/>
    <w:rsid w:val="005D49BF"/>
    <w:rsid w:val="005D4AA5"/>
    <w:rsid w:val="005D5274"/>
    <w:rsid w:val="005D53D3"/>
    <w:rsid w:val="005D5833"/>
    <w:rsid w:val="005D6F4E"/>
    <w:rsid w:val="005D7C73"/>
    <w:rsid w:val="005E0026"/>
    <w:rsid w:val="005E0D20"/>
    <w:rsid w:val="005E1928"/>
    <w:rsid w:val="005E250B"/>
    <w:rsid w:val="005E2747"/>
    <w:rsid w:val="005E367C"/>
    <w:rsid w:val="005E3800"/>
    <w:rsid w:val="005E3ACD"/>
    <w:rsid w:val="005E41D3"/>
    <w:rsid w:val="005E60EC"/>
    <w:rsid w:val="005E641F"/>
    <w:rsid w:val="005E7226"/>
    <w:rsid w:val="005E7446"/>
    <w:rsid w:val="005E7A57"/>
    <w:rsid w:val="005F00D9"/>
    <w:rsid w:val="005F06D8"/>
    <w:rsid w:val="005F24B0"/>
    <w:rsid w:val="005F3392"/>
    <w:rsid w:val="005F3CC4"/>
    <w:rsid w:val="005F472F"/>
    <w:rsid w:val="005F4DE3"/>
    <w:rsid w:val="005F596C"/>
    <w:rsid w:val="005F64D7"/>
    <w:rsid w:val="005F7921"/>
    <w:rsid w:val="00600491"/>
    <w:rsid w:val="00601E26"/>
    <w:rsid w:val="00602047"/>
    <w:rsid w:val="00602998"/>
    <w:rsid w:val="0060310B"/>
    <w:rsid w:val="006035B8"/>
    <w:rsid w:val="00603C3E"/>
    <w:rsid w:val="00603EA3"/>
    <w:rsid w:val="006041D2"/>
    <w:rsid w:val="00604315"/>
    <w:rsid w:val="006045B2"/>
    <w:rsid w:val="00604CF3"/>
    <w:rsid w:val="00604E26"/>
    <w:rsid w:val="0060523F"/>
    <w:rsid w:val="006052CF"/>
    <w:rsid w:val="00606AF4"/>
    <w:rsid w:val="00607645"/>
    <w:rsid w:val="00607AB3"/>
    <w:rsid w:val="00607B8D"/>
    <w:rsid w:val="00610185"/>
    <w:rsid w:val="00611F5C"/>
    <w:rsid w:val="00612064"/>
    <w:rsid w:val="00612150"/>
    <w:rsid w:val="0061277A"/>
    <w:rsid w:val="0061301A"/>
    <w:rsid w:val="006132BB"/>
    <w:rsid w:val="00616E09"/>
    <w:rsid w:val="00617609"/>
    <w:rsid w:val="00617CC7"/>
    <w:rsid w:val="0062295A"/>
    <w:rsid w:val="00622A3B"/>
    <w:rsid w:val="00622EEA"/>
    <w:rsid w:val="0062396C"/>
    <w:rsid w:val="00623FF9"/>
    <w:rsid w:val="0062432D"/>
    <w:rsid w:val="0062437D"/>
    <w:rsid w:val="00624E29"/>
    <w:rsid w:val="00627D4E"/>
    <w:rsid w:val="00630075"/>
    <w:rsid w:val="0063199E"/>
    <w:rsid w:val="00632B89"/>
    <w:rsid w:val="0063346D"/>
    <w:rsid w:val="00633EF4"/>
    <w:rsid w:val="00634478"/>
    <w:rsid w:val="00640B8D"/>
    <w:rsid w:val="00640C4C"/>
    <w:rsid w:val="00640C92"/>
    <w:rsid w:val="00642AED"/>
    <w:rsid w:val="00644373"/>
    <w:rsid w:val="00645915"/>
    <w:rsid w:val="006465EC"/>
    <w:rsid w:val="00646CC4"/>
    <w:rsid w:val="00647F76"/>
    <w:rsid w:val="006507B1"/>
    <w:rsid w:val="006519C3"/>
    <w:rsid w:val="00652161"/>
    <w:rsid w:val="00652B30"/>
    <w:rsid w:val="0065563F"/>
    <w:rsid w:val="00656345"/>
    <w:rsid w:val="00656DC6"/>
    <w:rsid w:val="00657CD9"/>
    <w:rsid w:val="00660A41"/>
    <w:rsid w:val="00660AD8"/>
    <w:rsid w:val="00660EC6"/>
    <w:rsid w:val="00662901"/>
    <w:rsid w:val="00664110"/>
    <w:rsid w:val="00664940"/>
    <w:rsid w:val="00664D17"/>
    <w:rsid w:val="00664D61"/>
    <w:rsid w:val="00665A33"/>
    <w:rsid w:val="00666520"/>
    <w:rsid w:val="006669C9"/>
    <w:rsid w:val="00666EB3"/>
    <w:rsid w:val="00667A02"/>
    <w:rsid w:val="00667C5B"/>
    <w:rsid w:val="00670DDF"/>
    <w:rsid w:val="00671AED"/>
    <w:rsid w:val="006748F9"/>
    <w:rsid w:val="00674DBB"/>
    <w:rsid w:val="006755AF"/>
    <w:rsid w:val="00676B96"/>
    <w:rsid w:val="0067712C"/>
    <w:rsid w:val="00677871"/>
    <w:rsid w:val="00680688"/>
    <w:rsid w:val="00680D14"/>
    <w:rsid w:val="006824F4"/>
    <w:rsid w:val="006835B2"/>
    <w:rsid w:val="00683E01"/>
    <w:rsid w:val="006845E6"/>
    <w:rsid w:val="006857BF"/>
    <w:rsid w:val="00687D77"/>
    <w:rsid w:val="00691EB8"/>
    <w:rsid w:val="00692CDE"/>
    <w:rsid w:val="00693073"/>
    <w:rsid w:val="006935D9"/>
    <w:rsid w:val="00693656"/>
    <w:rsid w:val="00693891"/>
    <w:rsid w:val="00694070"/>
    <w:rsid w:val="00694BD5"/>
    <w:rsid w:val="00695870"/>
    <w:rsid w:val="00695B36"/>
    <w:rsid w:val="006977FF"/>
    <w:rsid w:val="006A01FA"/>
    <w:rsid w:val="006A0E9E"/>
    <w:rsid w:val="006A123F"/>
    <w:rsid w:val="006A2354"/>
    <w:rsid w:val="006A25C7"/>
    <w:rsid w:val="006A3ECF"/>
    <w:rsid w:val="006A4125"/>
    <w:rsid w:val="006A4AAD"/>
    <w:rsid w:val="006A4CCA"/>
    <w:rsid w:val="006A568B"/>
    <w:rsid w:val="006A5762"/>
    <w:rsid w:val="006A60F0"/>
    <w:rsid w:val="006A626A"/>
    <w:rsid w:val="006A6850"/>
    <w:rsid w:val="006A6DA2"/>
    <w:rsid w:val="006A7AB2"/>
    <w:rsid w:val="006B0765"/>
    <w:rsid w:val="006B212F"/>
    <w:rsid w:val="006B2F2C"/>
    <w:rsid w:val="006B2F7C"/>
    <w:rsid w:val="006B3CF7"/>
    <w:rsid w:val="006B456C"/>
    <w:rsid w:val="006B46E9"/>
    <w:rsid w:val="006B52DE"/>
    <w:rsid w:val="006B5717"/>
    <w:rsid w:val="006B582F"/>
    <w:rsid w:val="006B5EB2"/>
    <w:rsid w:val="006B69F8"/>
    <w:rsid w:val="006B6D11"/>
    <w:rsid w:val="006B70D1"/>
    <w:rsid w:val="006B7FEC"/>
    <w:rsid w:val="006C0B9A"/>
    <w:rsid w:val="006C0CEB"/>
    <w:rsid w:val="006C1631"/>
    <w:rsid w:val="006C1CC0"/>
    <w:rsid w:val="006C24D9"/>
    <w:rsid w:val="006C25F6"/>
    <w:rsid w:val="006C29A8"/>
    <w:rsid w:val="006C3260"/>
    <w:rsid w:val="006C39DD"/>
    <w:rsid w:val="006C3B1E"/>
    <w:rsid w:val="006C460D"/>
    <w:rsid w:val="006C47FD"/>
    <w:rsid w:val="006C4F02"/>
    <w:rsid w:val="006C5C19"/>
    <w:rsid w:val="006C5CD7"/>
    <w:rsid w:val="006C5D91"/>
    <w:rsid w:val="006C5F59"/>
    <w:rsid w:val="006C5FD4"/>
    <w:rsid w:val="006C6A7A"/>
    <w:rsid w:val="006C6EC6"/>
    <w:rsid w:val="006C70A0"/>
    <w:rsid w:val="006D077F"/>
    <w:rsid w:val="006D27CB"/>
    <w:rsid w:val="006D2F08"/>
    <w:rsid w:val="006D576C"/>
    <w:rsid w:val="006D5865"/>
    <w:rsid w:val="006D6DC3"/>
    <w:rsid w:val="006D6F4C"/>
    <w:rsid w:val="006E0391"/>
    <w:rsid w:val="006E28E3"/>
    <w:rsid w:val="006E3D0B"/>
    <w:rsid w:val="006E40F7"/>
    <w:rsid w:val="006E4B1B"/>
    <w:rsid w:val="006E5445"/>
    <w:rsid w:val="006E5449"/>
    <w:rsid w:val="006E6DD7"/>
    <w:rsid w:val="006E7C76"/>
    <w:rsid w:val="006E7D93"/>
    <w:rsid w:val="006F26BF"/>
    <w:rsid w:val="006F35C2"/>
    <w:rsid w:val="006F5B6C"/>
    <w:rsid w:val="006F7F93"/>
    <w:rsid w:val="0070133D"/>
    <w:rsid w:val="00701481"/>
    <w:rsid w:val="007029A3"/>
    <w:rsid w:val="007031FA"/>
    <w:rsid w:val="00703269"/>
    <w:rsid w:val="00704221"/>
    <w:rsid w:val="00704767"/>
    <w:rsid w:val="00704E17"/>
    <w:rsid w:val="00706349"/>
    <w:rsid w:val="00706E4E"/>
    <w:rsid w:val="00707419"/>
    <w:rsid w:val="0070791C"/>
    <w:rsid w:val="00710EB3"/>
    <w:rsid w:val="0071130E"/>
    <w:rsid w:val="00711835"/>
    <w:rsid w:val="00712614"/>
    <w:rsid w:val="00712972"/>
    <w:rsid w:val="0071383C"/>
    <w:rsid w:val="007141A7"/>
    <w:rsid w:val="00715722"/>
    <w:rsid w:val="00715BAF"/>
    <w:rsid w:val="0071716A"/>
    <w:rsid w:val="00721032"/>
    <w:rsid w:val="00721154"/>
    <w:rsid w:val="0072154E"/>
    <w:rsid w:val="00721B01"/>
    <w:rsid w:val="00721B55"/>
    <w:rsid w:val="007237CD"/>
    <w:rsid w:val="00724F9C"/>
    <w:rsid w:val="00726203"/>
    <w:rsid w:val="007268F1"/>
    <w:rsid w:val="00726CE4"/>
    <w:rsid w:val="00727512"/>
    <w:rsid w:val="00730451"/>
    <w:rsid w:val="0073171E"/>
    <w:rsid w:val="00731C24"/>
    <w:rsid w:val="00733632"/>
    <w:rsid w:val="00733A5C"/>
    <w:rsid w:val="00734143"/>
    <w:rsid w:val="00737E47"/>
    <w:rsid w:val="00740405"/>
    <w:rsid w:val="00740BA3"/>
    <w:rsid w:val="00740C30"/>
    <w:rsid w:val="00740E0F"/>
    <w:rsid w:val="00740EAC"/>
    <w:rsid w:val="007419F3"/>
    <w:rsid w:val="00744449"/>
    <w:rsid w:val="00744579"/>
    <w:rsid w:val="00744956"/>
    <w:rsid w:val="00745A5C"/>
    <w:rsid w:val="0074605F"/>
    <w:rsid w:val="0074694F"/>
    <w:rsid w:val="00746C39"/>
    <w:rsid w:val="00747804"/>
    <w:rsid w:val="00747C23"/>
    <w:rsid w:val="00747E94"/>
    <w:rsid w:val="007533C6"/>
    <w:rsid w:val="00753776"/>
    <w:rsid w:val="00753B74"/>
    <w:rsid w:val="00754C83"/>
    <w:rsid w:val="007551FF"/>
    <w:rsid w:val="007554E6"/>
    <w:rsid w:val="00757407"/>
    <w:rsid w:val="007575AB"/>
    <w:rsid w:val="00757664"/>
    <w:rsid w:val="00757DAC"/>
    <w:rsid w:val="0076080F"/>
    <w:rsid w:val="00761E5C"/>
    <w:rsid w:val="0076363D"/>
    <w:rsid w:val="00765028"/>
    <w:rsid w:val="00765DF8"/>
    <w:rsid w:val="00766749"/>
    <w:rsid w:val="00766D55"/>
    <w:rsid w:val="0076701A"/>
    <w:rsid w:val="00767C1B"/>
    <w:rsid w:val="00770B3F"/>
    <w:rsid w:val="00771252"/>
    <w:rsid w:val="007714A9"/>
    <w:rsid w:val="00773AB7"/>
    <w:rsid w:val="0077401B"/>
    <w:rsid w:val="0077426C"/>
    <w:rsid w:val="00774BDA"/>
    <w:rsid w:val="00774F88"/>
    <w:rsid w:val="00774FDB"/>
    <w:rsid w:val="00775AB7"/>
    <w:rsid w:val="007763A1"/>
    <w:rsid w:val="007768BE"/>
    <w:rsid w:val="00776A13"/>
    <w:rsid w:val="00777B5B"/>
    <w:rsid w:val="00777BA2"/>
    <w:rsid w:val="0078048A"/>
    <w:rsid w:val="00781408"/>
    <w:rsid w:val="0078182B"/>
    <w:rsid w:val="007818F6"/>
    <w:rsid w:val="007830C0"/>
    <w:rsid w:val="00784F7F"/>
    <w:rsid w:val="007878BD"/>
    <w:rsid w:val="0079044F"/>
    <w:rsid w:val="00792CAC"/>
    <w:rsid w:val="00792E72"/>
    <w:rsid w:val="007947D9"/>
    <w:rsid w:val="00794D6C"/>
    <w:rsid w:val="00796717"/>
    <w:rsid w:val="00796F25"/>
    <w:rsid w:val="007A0BBF"/>
    <w:rsid w:val="007A0C3C"/>
    <w:rsid w:val="007A0DF2"/>
    <w:rsid w:val="007A2E98"/>
    <w:rsid w:val="007A3411"/>
    <w:rsid w:val="007A3BA3"/>
    <w:rsid w:val="007A6CC0"/>
    <w:rsid w:val="007A7FEC"/>
    <w:rsid w:val="007B02DF"/>
    <w:rsid w:val="007B0AE5"/>
    <w:rsid w:val="007B11DC"/>
    <w:rsid w:val="007B1499"/>
    <w:rsid w:val="007B1BBF"/>
    <w:rsid w:val="007B23EA"/>
    <w:rsid w:val="007B2960"/>
    <w:rsid w:val="007B2D9D"/>
    <w:rsid w:val="007B355D"/>
    <w:rsid w:val="007B4DB1"/>
    <w:rsid w:val="007B666C"/>
    <w:rsid w:val="007B70A7"/>
    <w:rsid w:val="007B7364"/>
    <w:rsid w:val="007B7980"/>
    <w:rsid w:val="007C0895"/>
    <w:rsid w:val="007C0DEF"/>
    <w:rsid w:val="007C2484"/>
    <w:rsid w:val="007C2B9D"/>
    <w:rsid w:val="007C2F0A"/>
    <w:rsid w:val="007C3830"/>
    <w:rsid w:val="007C3ACC"/>
    <w:rsid w:val="007C4A9B"/>
    <w:rsid w:val="007C5B14"/>
    <w:rsid w:val="007C5D5A"/>
    <w:rsid w:val="007C607F"/>
    <w:rsid w:val="007C6DB1"/>
    <w:rsid w:val="007C79DD"/>
    <w:rsid w:val="007D0094"/>
    <w:rsid w:val="007D13F1"/>
    <w:rsid w:val="007D142B"/>
    <w:rsid w:val="007D1A97"/>
    <w:rsid w:val="007D215E"/>
    <w:rsid w:val="007D2BB0"/>
    <w:rsid w:val="007D2CD6"/>
    <w:rsid w:val="007D3063"/>
    <w:rsid w:val="007D3CEB"/>
    <w:rsid w:val="007D4002"/>
    <w:rsid w:val="007D44F1"/>
    <w:rsid w:val="007D4819"/>
    <w:rsid w:val="007D4F12"/>
    <w:rsid w:val="007D5823"/>
    <w:rsid w:val="007D69BF"/>
    <w:rsid w:val="007D776A"/>
    <w:rsid w:val="007E057C"/>
    <w:rsid w:val="007E3465"/>
    <w:rsid w:val="007E3D49"/>
    <w:rsid w:val="007E4A1B"/>
    <w:rsid w:val="007E4C87"/>
    <w:rsid w:val="007E520B"/>
    <w:rsid w:val="007E55CE"/>
    <w:rsid w:val="007E7683"/>
    <w:rsid w:val="007F0108"/>
    <w:rsid w:val="007F0231"/>
    <w:rsid w:val="007F0946"/>
    <w:rsid w:val="007F2B1A"/>
    <w:rsid w:val="007F49FA"/>
    <w:rsid w:val="007F54C4"/>
    <w:rsid w:val="007F6E9A"/>
    <w:rsid w:val="0080038E"/>
    <w:rsid w:val="008004F8"/>
    <w:rsid w:val="00800CCD"/>
    <w:rsid w:val="00801FEB"/>
    <w:rsid w:val="00803764"/>
    <w:rsid w:val="008044D4"/>
    <w:rsid w:val="00804EB3"/>
    <w:rsid w:val="00806B72"/>
    <w:rsid w:val="00807DD6"/>
    <w:rsid w:val="00810AB4"/>
    <w:rsid w:val="0081172E"/>
    <w:rsid w:val="00811D36"/>
    <w:rsid w:val="00814C61"/>
    <w:rsid w:val="00817B56"/>
    <w:rsid w:val="00820282"/>
    <w:rsid w:val="00820D4F"/>
    <w:rsid w:val="008211EF"/>
    <w:rsid w:val="00821A88"/>
    <w:rsid w:val="0082322E"/>
    <w:rsid w:val="00824859"/>
    <w:rsid w:val="0082495D"/>
    <w:rsid w:val="008260C8"/>
    <w:rsid w:val="00827EB1"/>
    <w:rsid w:val="0083063E"/>
    <w:rsid w:val="00831981"/>
    <w:rsid w:val="00831AC3"/>
    <w:rsid w:val="00833F43"/>
    <w:rsid w:val="00836FCE"/>
    <w:rsid w:val="008408FF"/>
    <w:rsid w:val="00840CF4"/>
    <w:rsid w:val="00841686"/>
    <w:rsid w:val="0084249D"/>
    <w:rsid w:val="00842A4C"/>
    <w:rsid w:val="00842DA2"/>
    <w:rsid w:val="00850195"/>
    <w:rsid w:val="008501C1"/>
    <w:rsid w:val="008501E9"/>
    <w:rsid w:val="00851D4E"/>
    <w:rsid w:val="00851F10"/>
    <w:rsid w:val="00851F3F"/>
    <w:rsid w:val="0085324B"/>
    <w:rsid w:val="00853E5A"/>
    <w:rsid w:val="008553CD"/>
    <w:rsid w:val="00856EDC"/>
    <w:rsid w:val="00857A95"/>
    <w:rsid w:val="00860C8B"/>
    <w:rsid w:val="00861393"/>
    <w:rsid w:val="008621F7"/>
    <w:rsid w:val="008623B5"/>
    <w:rsid w:val="00863670"/>
    <w:rsid w:val="00865CBD"/>
    <w:rsid w:val="00867D8A"/>
    <w:rsid w:val="00870ABA"/>
    <w:rsid w:val="008710E1"/>
    <w:rsid w:val="008716E5"/>
    <w:rsid w:val="00873968"/>
    <w:rsid w:val="008744FC"/>
    <w:rsid w:val="00874826"/>
    <w:rsid w:val="00874EFE"/>
    <w:rsid w:val="00875FC9"/>
    <w:rsid w:val="0087686D"/>
    <w:rsid w:val="00876D41"/>
    <w:rsid w:val="00876F8B"/>
    <w:rsid w:val="00877B2C"/>
    <w:rsid w:val="0088044E"/>
    <w:rsid w:val="00881AC5"/>
    <w:rsid w:val="00881C56"/>
    <w:rsid w:val="00881CA9"/>
    <w:rsid w:val="0088279A"/>
    <w:rsid w:val="00882E00"/>
    <w:rsid w:val="00883628"/>
    <w:rsid w:val="00883D5C"/>
    <w:rsid w:val="008849B3"/>
    <w:rsid w:val="00885544"/>
    <w:rsid w:val="008855E6"/>
    <w:rsid w:val="00885F81"/>
    <w:rsid w:val="0088634E"/>
    <w:rsid w:val="0088645D"/>
    <w:rsid w:val="0089332B"/>
    <w:rsid w:val="00893AB8"/>
    <w:rsid w:val="00895003"/>
    <w:rsid w:val="008968EC"/>
    <w:rsid w:val="008A00D8"/>
    <w:rsid w:val="008A04C8"/>
    <w:rsid w:val="008A05E0"/>
    <w:rsid w:val="008A1A17"/>
    <w:rsid w:val="008A348C"/>
    <w:rsid w:val="008A4066"/>
    <w:rsid w:val="008A49DC"/>
    <w:rsid w:val="008A65A1"/>
    <w:rsid w:val="008A6913"/>
    <w:rsid w:val="008A7494"/>
    <w:rsid w:val="008B0674"/>
    <w:rsid w:val="008B122B"/>
    <w:rsid w:val="008B1BC9"/>
    <w:rsid w:val="008B2631"/>
    <w:rsid w:val="008B35D2"/>
    <w:rsid w:val="008B3AB6"/>
    <w:rsid w:val="008B3DE3"/>
    <w:rsid w:val="008B51CB"/>
    <w:rsid w:val="008B5AC1"/>
    <w:rsid w:val="008B6514"/>
    <w:rsid w:val="008B70F3"/>
    <w:rsid w:val="008B71C4"/>
    <w:rsid w:val="008B76DF"/>
    <w:rsid w:val="008B7BAC"/>
    <w:rsid w:val="008C10F4"/>
    <w:rsid w:val="008C1BF9"/>
    <w:rsid w:val="008C2D86"/>
    <w:rsid w:val="008C3522"/>
    <w:rsid w:val="008C4830"/>
    <w:rsid w:val="008C5B84"/>
    <w:rsid w:val="008C5F0E"/>
    <w:rsid w:val="008C5FCE"/>
    <w:rsid w:val="008C62D4"/>
    <w:rsid w:val="008C65F7"/>
    <w:rsid w:val="008D0586"/>
    <w:rsid w:val="008D0627"/>
    <w:rsid w:val="008D43D7"/>
    <w:rsid w:val="008D5658"/>
    <w:rsid w:val="008D56AE"/>
    <w:rsid w:val="008D59BB"/>
    <w:rsid w:val="008D6582"/>
    <w:rsid w:val="008D6595"/>
    <w:rsid w:val="008E032A"/>
    <w:rsid w:val="008E0428"/>
    <w:rsid w:val="008E0BE4"/>
    <w:rsid w:val="008E0CE0"/>
    <w:rsid w:val="008E4767"/>
    <w:rsid w:val="008E7751"/>
    <w:rsid w:val="008E798A"/>
    <w:rsid w:val="008E7A8C"/>
    <w:rsid w:val="008F1C3D"/>
    <w:rsid w:val="008F2381"/>
    <w:rsid w:val="008F23F3"/>
    <w:rsid w:val="008F3D2D"/>
    <w:rsid w:val="008F3D90"/>
    <w:rsid w:val="008F4634"/>
    <w:rsid w:val="008F6516"/>
    <w:rsid w:val="008F706C"/>
    <w:rsid w:val="00900466"/>
    <w:rsid w:val="009019A5"/>
    <w:rsid w:val="0090203B"/>
    <w:rsid w:val="00902062"/>
    <w:rsid w:val="00903285"/>
    <w:rsid w:val="00903B2A"/>
    <w:rsid w:val="009045D1"/>
    <w:rsid w:val="00904A56"/>
    <w:rsid w:val="00906F40"/>
    <w:rsid w:val="0090731E"/>
    <w:rsid w:val="0090756B"/>
    <w:rsid w:val="00907EE8"/>
    <w:rsid w:val="00912710"/>
    <w:rsid w:val="009128B1"/>
    <w:rsid w:val="00912F07"/>
    <w:rsid w:val="00914817"/>
    <w:rsid w:val="00914BD5"/>
    <w:rsid w:val="00914F43"/>
    <w:rsid w:val="009158CB"/>
    <w:rsid w:val="00915B1C"/>
    <w:rsid w:val="00916E54"/>
    <w:rsid w:val="009174F3"/>
    <w:rsid w:val="009178DC"/>
    <w:rsid w:val="0091797D"/>
    <w:rsid w:val="00920029"/>
    <w:rsid w:val="009206B2"/>
    <w:rsid w:val="00922D2C"/>
    <w:rsid w:val="00923CBA"/>
    <w:rsid w:val="009248CE"/>
    <w:rsid w:val="00925576"/>
    <w:rsid w:val="00926703"/>
    <w:rsid w:val="00926A83"/>
    <w:rsid w:val="00927691"/>
    <w:rsid w:val="00927A5F"/>
    <w:rsid w:val="00930510"/>
    <w:rsid w:val="009306ED"/>
    <w:rsid w:val="00933977"/>
    <w:rsid w:val="009347B4"/>
    <w:rsid w:val="00935854"/>
    <w:rsid w:val="00935B63"/>
    <w:rsid w:val="00936404"/>
    <w:rsid w:val="009366C0"/>
    <w:rsid w:val="00936C18"/>
    <w:rsid w:val="00936E95"/>
    <w:rsid w:val="00936ED1"/>
    <w:rsid w:val="00937F1A"/>
    <w:rsid w:val="0094078F"/>
    <w:rsid w:val="00940D46"/>
    <w:rsid w:val="00940FA3"/>
    <w:rsid w:val="0094175C"/>
    <w:rsid w:val="009418C6"/>
    <w:rsid w:val="00941D9E"/>
    <w:rsid w:val="00941FB0"/>
    <w:rsid w:val="009426D4"/>
    <w:rsid w:val="009435FC"/>
    <w:rsid w:val="00943631"/>
    <w:rsid w:val="00944CFF"/>
    <w:rsid w:val="00945115"/>
    <w:rsid w:val="00945460"/>
    <w:rsid w:val="00945643"/>
    <w:rsid w:val="00945FDA"/>
    <w:rsid w:val="00947F25"/>
    <w:rsid w:val="00950159"/>
    <w:rsid w:val="00951187"/>
    <w:rsid w:val="00951967"/>
    <w:rsid w:val="00952A30"/>
    <w:rsid w:val="00952C72"/>
    <w:rsid w:val="0095490B"/>
    <w:rsid w:val="00954C7E"/>
    <w:rsid w:val="00954EE2"/>
    <w:rsid w:val="00956B23"/>
    <w:rsid w:val="009605AB"/>
    <w:rsid w:val="009608B1"/>
    <w:rsid w:val="00960A33"/>
    <w:rsid w:val="00960EC3"/>
    <w:rsid w:val="009614AF"/>
    <w:rsid w:val="00961850"/>
    <w:rsid w:val="0096288F"/>
    <w:rsid w:val="009648F2"/>
    <w:rsid w:val="00964A2A"/>
    <w:rsid w:val="00965CCF"/>
    <w:rsid w:val="009716EF"/>
    <w:rsid w:val="00971914"/>
    <w:rsid w:val="00972AD6"/>
    <w:rsid w:val="00972E77"/>
    <w:rsid w:val="00974363"/>
    <w:rsid w:val="00975235"/>
    <w:rsid w:val="009755E7"/>
    <w:rsid w:val="00976126"/>
    <w:rsid w:val="009765A7"/>
    <w:rsid w:val="00977BFE"/>
    <w:rsid w:val="00977D9D"/>
    <w:rsid w:val="00980E54"/>
    <w:rsid w:val="00981898"/>
    <w:rsid w:val="00982A57"/>
    <w:rsid w:val="00983403"/>
    <w:rsid w:val="00984FB8"/>
    <w:rsid w:val="009854F7"/>
    <w:rsid w:val="00985CEE"/>
    <w:rsid w:val="009868F4"/>
    <w:rsid w:val="00987190"/>
    <w:rsid w:val="00987B40"/>
    <w:rsid w:val="009913AD"/>
    <w:rsid w:val="009954E9"/>
    <w:rsid w:val="009955AE"/>
    <w:rsid w:val="0099577C"/>
    <w:rsid w:val="009959A9"/>
    <w:rsid w:val="00996050"/>
    <w:rsid w:val="009A021C"/>
    <w:rsid w:val="009A03E7"/>
    <w:rsid w:val="009A1496"/>
    <w:rsid w:val="009A25CC"/>
    <w:rsid w:val="009A3F3B"/>
    <w:rsid w:val="009A42B1"/>
    <w:rsid w:val="009A51C6"/>
    <w:rsid w:val="009A576A"/>
    <w:rsid w:val="009A6C8D"/>
    <w:rsid w:val="009A7200"/>
    <w:rsid w:val="009B24A5"/>
    <w:rsid w:val="009B2601"/>
    <w:rsid w:val="009B313A"/>
    <w:rsid w:val="009B3246"/>
    <w:rsid w:val="009B32CA"/>
    <w:rsid w:val="009B4E9E"/>
    <w:rsid w:val="009B52C8"/>
    <w:rsid w:val="009B53B6"/>
    <w:rsid w:val="009B5A23"/>
    <w:rsid w:val="009B72E1"/>
    <w:rsid w:val="009B7BB0"/>
    <w:rsid w:val="009C074E"/>
    <w:rsid w:val="009C1122"/>
    <w:rsid w:val="009C1690"/>
    <w:rsid w:val="009C5A39"/>
    <w:rsid w:val="009C6881"/>
    <w:rsid w:val="009C7759"/>
    <w:rsid w:val="009D0411"/>
    <w:rsid w:val="009D043D"/>
    <w:rsid w:val="009D07C8"/>
    <w:rsid w:val="009D1219"/>
    <w:rsid w:val="009D1FF1"/>
    <w:rsid w:val="009D26CB"/>
    <w:rsid w:val="009D3AFB"/>
    <w:rsid w:val="009D4C85"/>
    <w:rsid w:val="009D4CC2"/>
    <w:rsid w:val="009D6075"/>
    <w:rsid w:val="009D6673"/>
    <w:rsid w:val="009D6C71"/>
    <w:rsid w:val="009D76D9"/>
    <w:rsid w:val="009D792A"/>
    <w:rsid w:val="009D7EE8"/>
    <w:rsid w:val="009E0631"/>
    <w:rsid w:val="009E16D0"/>
    <w:rsid w:val="009E2051"/>
    <w:rsid w:val="009E374F"/>
    <w:rsid w:val="009E38FD"/>
    <w:rsid w:val="009E3EF3"/>
    <w:rsid w:val="009E401C"/>
    <w:rsid w:val="009E7111"/>
    <w:rsid w:val="009E7679"/>
    <w:rsid w:val="009E7DD0"/>
    <w:rsid w:val="009F13D6"/>
    <w:rsid w:val="009F466F"/>
    <w:rsid w:val="009F4C6B"/>
    <w:rsid w:val="009F58F0"/>
    <w:rsid w:val="009F5907"/>
    <w:rsid w:val="009F78A8"/>
    <w:rsid w:val="00A00B64"/>
    <w:rsid w:val="00A017E0"/>
    <w:rsid w:val="00A01D0A"/>
    <w:rsid w:val="00A02860"/>
    <w:rsid w:val="00A02AD6"/>
    <w:rsid w:val="00A02B27"/>
    <w:rsid w:val="00A049FC"/>
    <w:rsid w:val="00A05052"/>
    <w:rsid w:val="00A05C6F"/>
    <w:rsid w:val="00A05E67"/>
    <w:rsid w:val="00A06B12"/>
    <w:rsid w:val="00A07096"/>
    <w:rsid w:val="00A07318"/>
    <w:rsid w:val="00A109C3"/>
    <w:rsid w:val="00A11014"/>
    <w:rsid w:val="00A11370"/>
    <w:rsid w:val="00A12D9B"/>
    <w:rsid w:val="00A1658F"/>
    <w:rsid w:val="00A22119"/>
    <w:rsid w:val="00A224CE"/>
    <w:rsid w:val="00A22522"/>
    <w:rsid w:val="00A23C06"/>
    <w:rsid w:val="00A2401B"/>
    <w:rsid w:val="00A24AFD"/>
    <w:rsid w:val="00A24DA5"/>
    <w:rsid w:val="00A24F5C"/>
    <w:rsid w:val="00A254E4"/>
    <w:rsid w:val="00A27407"/>
    <w:rsid w:val="00A27976"/>
    <w:rsid w:val="00A27CB9"/>
    <w:rsid w:val="00A27D3C"/>
    <w:rsid w:val="00A30AEA"/>
    <w:rsid w:val="00A32AF0"/>
    <w:rsid w:val="00A32F96"/>
    <w:rsid w:val="00A36A1B"/>
    <w:rsid w:val="00A36AF2"/>
    <w:rsid w:val="00A40722"/>
    <w:rsid w:val="00A40871"/>
    <w:rsid w:val="00A40E6C"/>
    <w:rsid w:val="00A412AB"/>
    <w:rsid w:val="00A4193E"/>
    <w:rsid w:val="00A42384"/>
    <w:rsid w:val="00A43A96"/>
    <w:rsid w:val="00A440E0"/>
    <w:rsid w:val="00A442EF"/>
    <w:rsid w:val="00A45307"/>
    <w:rsid w:val="00A50F3A"/>
    <w:rsid w:val="00A51D1A"/>
    <w:rsid w:val="00A5380C"/>
    <w:rsid w:val="00A5418D"/>
    <w:rsid w:val="00A5474E"/>
    <w:rsid w:val="00A548B7"/>
    <w:rsid w:val="00A554F8"/>
    <w:rsid w:val="00A566E3"/>
    <w:rsid w:val="00A57690"/>
    <w:rsid w:val="00A60E43"/>
    <w:rsid w:val="00A618AC"/>
    <w:rsid w:val="00A61C4B"/>
    <w:rsid w:val="00A62335"/>
    <w:rsid w:val="00A624F0"/>
    <w:rsid w:val="00A64234"/>
    <w:rsid w:val="00A65C8B"/>
    <w:rsid w:val="00A701D6"/>
    <w:rsid w:val="00A70ADF"/>
    <w:rsid w:val="00A70B92"/>
    <w:rsid w:val="00A71466"/>
    <w:rsid w:val="00A7153B"/>
    <w:rsid w:val="00A71C21"/>
    <w:rsid w:val="00A734C7"/>
    <w:rsid w:val="00A7412C"/>
    <w:rsid w:val="00A74B5E"/>
    <w:rsid w:val="00A752CE"/>
    <w:rsid w:val="00A75BE5"/>
    <w:rsid w:val="00A766E7"/>
    <w:rsid w:val="00A81174"/>
    <w:rsid w:val="00A81BED"/>
    <w:rsid w:val="00A81EC4"/>
    <w:rsid w:val="00A824E8"/>
    <w:rsid w:val="00A82661"/>
    <w:rsid w:val="00A82AFD"/>
    <w:rsid w:val="00A85AC6"/>
    <w:rsid w:val="00A85E23"/>
    <w:rsid w:val="00A86742"/>
    <w:rsid w:val="00A86879"/>
    <w:rsid w:val="00A947AC"/>
    <w:rsid w:val="00A953AA"/>
    <w:rsid w:val="00A95889"/>
    <w:rsid w:val="00A95C44"/>
    <w:rsid w:val="00A967FD"/>
    <w:rsid w:val="00A96BB7"/>
    <w:rsid w:val="00A9762A"/>
    <w:rsid w:val="00AA0136"/>
    <w:rsid w:val="00AA0D95"/>
    <w:rsid w:val="00AA18F5"/>
    <w:rsid w:val="00AA2A17"/>
    <w:rsid w:val="00AA2DE5"/>
    <w:rsid w:val="00AA3A97"/>
    <w:rsid w:val="00AA4DF3"/>
    <w:rsid w:val="00AA5C46"/>
    <w:rsid w:val="00AA600C"/>
    <w:rsid w:val="00AB156C"/>
    <w:rsid w:val="00AB1663"/>
    <w:rsid w:val="00AB16D6"/>
    <w:rsid w:val="00AB2034"/>
    <w:rsid w:val="00AB260D"/>
    <w:rsid w:val="00AB271F"/>
    <w:rsid w:val="00AB2CAF"/>
    <w:rsid w:val="00AB3344"/>
    <w:rsid w:val="00AB5860"/>
    <w:rsid w:val="00AB6814"/>
    <w:rsid w:val="00AB78A1"/>
    <w:rsid w:val="00AC04BA"/>
    <w:rsid w:val="00AC0E39"/>
    <w:rsid w:val="00AC1B08"/>
    <w:rsid w:val="00AC270F"/>
    <w:rsid w:val="00AC3AA2"/>
    <w:rsid w:val="00AC537C"/>
    <w:rsid w:val="00AC599D"/>
    <w:rsid w:val="00AD07FE"/>
    <w:rsid w:val="00AD1461"/>
    <w:rsid w:val="00AD1D56"/>
    <w:rsid w:val="00AD23C1"/>
    <w:rsid w:val="00AD2B5B"/>
    <w:rsid w:val="00AD3082"/>
    <w:rsid w:val="00AD32B4"/>
    <w:rsid w:val="00AD381B"/>
    <w:rsid w:val="00AD457A"/>
    <w:rsid w:val="00AD4650"/>
    <w:rsid w:val="00AD4AD0"/>
    <w:rsid w:val="00AD4C22"/>
    <w:rsid w:val="00AD4EED"/>
    <w:rsid w:val="00AD5436"/>
    <w:rsid w:val="00AD5825"/>
    <w:rsid w:val="00AD5830"/>
    <w:rsid w:val="00AD60CD"/>
    <w:rsid w:val="00AD6C8C"/>
    <w:rsid w:val="00AE003B"/>
    <w:rsid w:val="00AE091D"/>
    <w:rsid w:val="00AE12AE"/>
    <w:rsid w:val="00AE23A1"/>
    <w:rsid w:val="00AE3B60"/>
    <w:rsid w:val="00AE53A1"/>
    <w:rsid w:val="00AE5F3C"/>
    <w:rsid w:val="00AE610B"/>
    <w:rsid w:val="00AE6C01"/>
    <w:rsid w:val="00AF0E4D"/>
    <w:rsid w:val="00AF2484"/>
    <w:rsid w:val="00AF3222"/>
    <w:rsid w:val="00AF63E7"/>
    <w:rsid w:val="00AF6CAF"/>
    <w:rsid w:val="00AF6E17"/>
    <w:rsid w:val="00AF70DB"/>
    <w:rsid w:val="00AF7591"/>
    <w:rsid w:val="00B012D3"/>
    <w:rsid w:val="00B0165D"/>
    <w:rsid w:val="00B018D0"/>
    <w:rsid w:val="00B01B60"/>
    <w:rsid w:val="00B02044"/>
    <w:rsid w:val="00B031F3"/>
    <w:rsid w:val="00B034C4"/>
    <w:rsid w:val="00B03DFD"/>
    <w:rsid w:val="00B04868"/>
    <w:rsid w:val="00B04A3F"/>
    <w:rsid w:val="00B04F70"/>
    <w:rsid w:val="00B052A4"/>
    <w:rsid w:val="00B055B1"/>
    <w:rsid w:val="00B0581D"/>
    <w:rsid w:val="00B05964"/>
    <w:rsid w:val="00B05E95"/>
    <w:rsid w:val="00B065E5"/>
    <w:rsid w:val="00B06B40"/>
    <w:rsid w:val="00B07136"/>
    <w:rsid w:val="00B0741E"/>
    <w:rsid w:val="00B078E6"/>
    <w:rsid w:val="00B10081"/>
    <w:rsid w:val="00B11D0D"/>
    <w:rsid w:val="00B125DE"/>
    <w:rsid w:val="00B13FDD"/>
    <w:rsid w:val="00B14724"/>
    <w:rsid w:val="00B152F0"/>
    <w:rsid w:val="00B15B2F"/>
    <w:rsid w:val="00B15D3E"/>
    <w:rsid w:val="00B15E8D"/>
    <w:rsid w:val="00B213BA"/>
    <w:rsid w:val="00B215F0"/>
    <w:rsid w:val="00B21677"/>
    <w:rsid w:val="00B220BA"/>
    <w:rsid w:val="00B22EB2"/>
    <w:rsid w:val="00B22F2C"/>
    <w:rsid w:val="00B23C35"/>
    <w:rsid w:val="00B25101"/>
    <w:rsid w:val="00B25AEF"/>
    <w:rsid w:val="00B26BA2"/>
    <w:rsid w:val="00B26C6F"/>
    <w:rsid w:val="00B27442"/>
    <w:rsid w:val="00B31167"/>
    <w:rsid w:val="00B31BF4"/>
    <w:rsid w:val="00B329D8"/>
    <w:rsid w:val="00B32BB9"/>
    <w:rsid w:val="00B3348F"/>
    <w:rsid w:val="00B33AE1"/>
    <w:rsid w:val="00B34FC8"/>
    <w:rsid w:val="00B36741"/>
    <w:rsid w:val="00B37C38"/>
    <w:rsid w:val="00B37DC3"/>
    <w:rsid w:val="00B4288C"/>
    <w:rsid w:val="00B42A1B"/>
    <w:rsid w:val="00B43203"/>
    <w:rsid w:val="00B43262"/>
    <w:rsid w:val="00B44100"/>
    <w:rsid w:val="00B46CBA"/>
    <w:rsid w:val="00B46D1F"/>
    <w:rsid w:val="00B46F94"/>
    <w:rsid w:val="00B476D3"/>
    <w:rsid w:val="00B549EF"/>
    <w:rsid w:val="00B55537"/>
    <w:rsid w:val="00B55A90"/>
    <w:rsid w:val="00B55B1D"/>
    <w:rsid w:val="00B574C9"/>
    <w:rsid w:val="00B6003C"/>
    <w:rsid w:val="00B617DB"/>
    <w:rsid w:val="00B61F03"/>
    <w:rsid w:val="00B626E4"/>
    <w:rsid w:val="00B62A27"/>
    <w:rsid w:val="00B66702"/>
    <w:rsid w:val="00B66B24"/>
    <w:rsid w:val="00B66EC5"/>
    <w:rsid w:val="00B67470"/>
    <w:rsid w:val="00B67516"/>
    <w:rsid w:val="00B72510"/>
    <w:rsid w:val="00B72F4A"/>
    <w:rsid w:val="00B73614"/>
    <w:rsid w:val="00B73B1E"/>
    <w:rsid w:val="00B73CAD"/>
    <w:rsid w:val="00B73F93"/>
    <w:rsid w:val="00B8013E"/>
    <w:rsid w:val="00B80550"/>
    <w:rsid w:val="00B8281D"/>
    <w:rsid w:val="00B82E95"/>
    <w:rsid w:val="00B834F1"/>
    <w:rsid w:val="00B83C27"/>
    <w:rsid w:val="00B84BC3"/>
    <w:rsid w:val="00B84BDD"/>
    <w:rsid w:val="00B84E0D"/>
    <w:rsid w:val="00B85D2E"/>
    <w:rsid w:val="00B863B1"/>
    <w:rsid w:val="00B871CA"/>
    <w:rsid w:val="00B87311"/>
    <w:rsid w:val="00B8736B"/>
    <w:rsid w:val="00B90783"/>
    <w:rsid w:val="00B90896"/>
    <w:rsid w:val="00B9215A"/>
    <w:rsid w:val="00B921E9"/>
    <w:rsid w:val="00B92812"/>
    <w:rsid w:val="00B946FA"/>
    <w:rsid w:val="00B96FE5"/>
    <w:rsid w:val="00BA0084"/>
    <w:rsid w:val="00BA1206"/>
    <w:rsid w:val="00BA18A5"/>
    <w:rsid w:val="00BA1A78"/>
    <w:rsid w:val="00BA27CF"/>
    <w:rsid w:val="00BA2E5A"/>
    <w:rsid w:val="00BA46D4"/>
    <w:rsid w:val="00BA7758"/>
    <w:rsid w:val="00BB0ED0"/>
    <w:rsid w:val="00BB0F48"/>
    <w:rsid w:val="00BB123E"/>
    <w:rsid w:val="00BB1A83"/>
    <w:rsid w:val="00BB1D9C"/>
    <w:rsid w:val="00BB2804"/>
    <w:rsid w:val="00BB2DB1"/>
    <w:rsid w:val="00BB45A1"/>
    <w:rsid w:val="00BB602C"/>
    <w:rsid w:val="00BB6335"/>
    <w:rsid w:val="00BB7686"/>
    <w:rsid w:val="00BB7802"/>
    <w:rsid w:val="00BC0C61"/>
    <w:rsid w:val="00BC1923"/>
    <w:rsid w:val="00BC23F9"/>
    <w:rsid w:val="00BC3421"/>
    <w:rsid w:val="00BC34B6"/>
    <w:rsid w:val="00BC37C5"/>
    <w:rsid w:val="00BC4644"/>
    <w:rsid w:val="00BC4C45"/>
    <w:rsid w:val="00BC5E32"/>
    <w:rsid w:val="00BC6659"/>
    <w:rsid w:val="00BC7257"/>
    <w:rsid w:val="00BC732C"/>
    <w:rsid w:val="00BD108E"/>
    <w:rsid w:val="00BD1848"/>
    <w:rsid w:val="00BD2545"/>
    <w:rsid w:val="00BD4421"/>
    <w:rsid w:val="00BD535A"/>
    <w:rsid w:val="00BD5A05"/>
    <w:rsid w:val="00BD65DB"/>
    <w:rsid w:val="00BE1D45"/>
    <w:rsid w:val="00BE2580"/>
    <w:rsid w:val="00BE25AA"/>
    <w:rsid w:val="00BE266D"/>
    <w:rsid w:val="00BE2ACD"/>
    <w:rsid w:val="00BE3938"/>
    <w:rsid w:val="00BE3AAD"/>
    <w:rsid w:val="00BE4379"/>
    <w:rsid w:val="00BE460F"/>
    <w:rsid w:val="00BE4C11"/>
    <w:rsid w:val="00BE6AD2"/>
    <w:rsid w:val="00BE71C0"/>
    <w:rsid w:val="00BF31C2"/>
    <w:rsid w:val="00BF47DD"/>
    <w:rsid w:val="00BF4CA1"/>
    <w:rsid w:val="00BF4EC8"/>
    <w:rsid w:val="00BF5A87"/>
    <w:rsid w:val="00BF610C"/>
    <w:rsid w:val="00BF74E2"/>
    <w:rsid w:val="00BF7C9D"/>
    <w:rsid w:val="00C0060B"/>
    <w:rsid w:val="00C010B0"/>
    <w:rsid w:val="00C01A6C"/>
    <w:rsid w:val="00C0207A"/>
    <w:rsid w:val="00C02258"/>
    <w:rsid w:val="00C0277D"/>
    <w:rsid w:val="00C02F26"/>
    <w:rsid w:val="00C04995"/>
    <w:rsid w:val="00C053A1"/>
    <w:rsid w:val="00C05556"/>
    <w:rsid w:val="00C05979"/>
    <w:rsid w:val="00C06139"/>
    <w:rsid w:val="00C06488"/>
    <w:rsid w:val="00C07407"/>
    <w:rsid w:val="00C07D57"/>
    <w:rsid w:val="00C07E17"/>
    <w:rsid w:val="00C11FE6"/>
    <w:rsid w:val="00C12F6F"/>
    <w:rsid w:val="00C14211"/>
    <w:rsid w:val="00C14420"/>
    <w:rsid w:val="00C16198"/>
    <w:rsid w:val="00C2083D"/>
    <w:rsid w:val="00C22096"/>
    <w:rsid w:val="00C24A53"/>
    <w:rsid w:val="00C26D33"/>
    <w:rsid w:val="00C3082C"/>
    <w:rsid w:val="00C31193"/>
    <w:rsid w:val="00C331D0"/>
    <w:rsid w:val="00C33761"/>
    <w:rsid w:val="00C34500"/>
    <w:rsid w:val="00C34A05"/>
    <w:rsid w:val="00C34CFC"/>
    <w:rsid w:val="00C35CCE"/>
    <w:rsid w:val="00C360AC"/>
    <w:rsid w:val="00C36888"/>
    <w:rsid w:val="00C36999"/>
    <w:rsid w:val="00C4032F"/>
    <w:rsid w:val="00C40FE0"/>
    <w:rsid w:val="00C41888"/>
    <w:rsid w:val="00C41CB2"/>
    <w:rsid w:val="00C41F21"/>
    <w:rsid w:val="00C4204B"/>
    <w:rsid w:val="00C42EA6"/>
    <w:rsid w:val="00C43444"/>
    <w:rsid w:val="00C43C12"/>
    <w:rsid w:val="00C44047"/>
    <w:rsid w:val="00C44130"/>
    <w:rsid w:val="00C44683"/>
    <w:rsid w:val="00C45155"/>
    <w:rsid w:val="00C45BAE"/>
    <w:rsid w:val="00C45E84"/>
    <w:rsid w:val="00C467B9"/>
    <w:rsid w:val="00C47268"/>
    <w:rsid w:val="00C47DC6"/>
    <w:rsid w:val="00C50B8E"/>
    <w:rsid w:val="00C51F28"/>
    <w:rsid w:val="00C52D0B"/>
    <w:rsid w:val="00C534EF"/>
    <w:rsid w:val="00C5498F"/>
    <w:rsid w:val="00C54C58"/>
    <w:rsid w:val="00C54FD2"/>
    <w:rsid w:val="00C55235"/>
    <w:rsid w:val="00C57400"/>
    <w:rsid w:val="00C618ED"/>
    <w:rsid w:val="00C61BA5"/>
    <w:rsid w:val="00C62592"/>
    <w:rsid w:val="00C63533"/>
    <w:rsid w:val="00C6441B"/>
    <w:rsid w:val="00C64CD0"/>
    <w:rsid w:val="00C65450"/>
    <w:rsid w:val="00C65F61"/>
    <w:rsid w:val="00C6684F"/>
    <w:rsid w:val="00C6685C"/>
    <w:rsid w:val="00C66CCB"/>
    <w:rsid w:val="00C678AC"/>
    <w:rsid w:val="00C7021E"/>
    <w:rsid w:val="00C70AD5"/>
    <w:rsid w:val="00C70E70"/>
    <w:rsid w:val="00C713CF"/>
    <w:rsid w:val="00C730FD"/>
    <w:rsid w:val="00C739C2"/>
    <w:rsid w:val="00C743D7"/>
    <w:rsid w:val="00C74F6C"/>
    <w:rsid w:val="00C75F8D"/>
    <w:rsid w:val="00C762AF"/>
    <w:rsid w:val="00C77380"/>
    <w:rsid w:val="00C77B09"/>
    <w:rsid w:val="00C80079"/>
    <w:rsid w:val="00C809BE"/>
    <w:rsid w:val="00C81A16"/>
    <w:rsid w:val="00C826E4"/>
    <w:rsid w:val="00C82FD9"/>
    <w:rsid w:val="00C84523"/>
    <w:rsid w:val="00C8740F"/>
    <w:rsid w:val="00C87E8A"/>
    <w:rsid w:val="00C90401"/>
    <w:rsid w:val="00C913D6"/>
    <w:rsid w:val="00C92450"/>
    <w:rsid w:val="00C92C3D"/>
    <w:rsid w:val="00C93552"/>
    <w:rsid w:val="00C94454"/>
    <w:rsid w:val="00C94E90"/>
    <w:rsid w:val="00C97283"/>
    <w:rsid w:val="00C97736"/>
    <w:rsid w:val="00CA011C"/>
    <w:rsid w:val="00CA1519"/>
    <w:rsid w:val="00CA1A3E"/>
    <w:rsid w:val="00CA2333"/>
    <w:rsid w:val="00CA345A"/>
    <w:rsid w:val="00CA4163"/>
    <w:rsid w:val="00CA4460"/>
    <w:rsid w:val="00CA4A67"/>
    <w:rsid w:val="00CA52FD"/>
    <w:rsid w:val="00CA5965"/>
    <w:rsid w:val="00CA59E8"/>
    <w:rsid w:val="00CA5D54"/>
    <w:rsid w:val="00CA632F"/>
    <w:rsid w:val="00CA66A5"/>
    <w:rsid w:val="00CB06E7"/>
    <w:rsid w:val="00CB0FD5"/>
    <w:rsid w:val="00CB1B23"/>
    <w:rsid w:val="00CB1B44"/>
    <w:rsid w:val="00CB1E82"/>
    <w:rsid w:val="00CB3391"/>
    <w:rsid w:val="00CB4BA8"/>
    <w:rsid w:val="00CB52D7"/>
    <w:rsid w:val="00CB678B"/>
    <w:rsid w:val="00CB7B1A"/>
    <w:rsid w:val="00CC0724"/>
    <w:rsid w:val="00CC0BA2"/>
    <w:rsid w:val="00CC11D3"/>
    <w:rsid w:val="00CC4195"/>
    <w:rsid w:val="00CC49B8"/>
    <w:rsid w:val="00CC6209"/>
    <w:rsid w:val="00CC6732"/>
    <w:rsid w:val="00CC6A9F"/>
    <w:rsid w:val="00CD1561"/>
    <w:rsid w:val="00CD1FFB"/>
    <w:rsid w:val="00CD2E06"/>
    <w:rsid w:val="00CD3ACB"/>
    <w:rsid w:val="00CD3B01"/>
    <w:rsid w:val="00CD4D69"/>
    <w:rsid w:val="00CD556A"/>
    <w:rsid w:val="00CD5CB4"/>
    <w:rsid w:val="00CD62E2"/>
    <w:rsid w:val="00CD6ACF"/>
    <w:rsid w:val="00CD6EA1"/>
    <w:rsid w:val="00CD7F93"/>
    <w:rsid w:val="00CE0CA7"/>
    <w:rsid w:val="00CE1718"/>
    <w:rsid w:val="00CE36A1"/>
    <w:rsid w:val="00CE3C96"/>
    <w:rsid w:val="00CE4EFE"/>
    <w:rsid w:val="00CE51A8"/>
    <w:rsid w:val="00CE59E6"/>
    <w:rsid w:val="00CE7797"/>
    <w:rsid w:val="00CE7EBD"/>
    <w:rsid w:val="00CF0BFE"/>
    <w:rsid w:val="00CF147E"/>
    <w:rsid w:val="00CF1A21"/>
    <w:rsid w:val="00CF2D30"/>
    <w:rsid w:val="00CF369B"/>
    <w:rsid w:val="00CF45BC"/>
    <w:rsid w:val="00CF4738"/>
    <w:rsid w:val="00CF5369"/>
    <w:rsid w:val="00CF7562"/>
    <w:rsid w:val="00CF7B9C"/>
    <w:rsid w:val="00CF7FE6"/>
    <w:rsid w:val="00D0002F"/>
    <w:rsid w:val="00D00679"/>
    <w:rsid w:val="00D00E28"/>
    <w:rsid w:val="00D0269E"/>
    <w:rsid w:val="00D02C83"/>
    <w:rsid w:val="00D05D6C"/>
    <w:rsid w:val="00D05F91"/>
    <w:rsid w:val="00D06683"/>
    <w:rsid w:val="00D10F02"/>
    <w:rsid w:val="00D11735"/>
    <w:rsid w:val="00D12089"/>
    <w:rsid w:val="00D12301"/>
    <w:rsid w:val="00D12A49"/>
    <w:rsid w:val="00D13B3D"/>
    <w:rsid w:val="00D14013"/>
    <w:rsid w:val="00D1548E"/>
    <w:rsid w:val="00D1579A"/>
    <w:rsid w:val="00D15810"/>
    <w:rsid w:val="00D16754"/>
    <w:rsid w:val="00D16D4E"/>
    <w:rsid w:val="00D16FE3"/>
    <w:rsid w:val="00D21CD4"/>
    <w:rsid w:val="00D23B53"/>
    <w:rsid w:val="00D23DA6"/>
    <w:rsid w:val="00D25C65"/>
    <w:rsid w:val="00D25DF2"/>
    <w:rsid w:val="00D268AC"/>
    <w:rsid w:val="00D278A6"/>
    <w:rsid w:val="00D27D6F"/>
    <w:rsid w:val="00D27F41"/>
    <w:rsid w:val="00D3124E"/>
    <w:rsid w:val="00D3397C"/>
    <w:rsid w:val="00D35A9D"/>
    <w:rsid w:val="00D36435"/>
    <w:rsid w:val="00D36441"/>
    <w:rsid w:val="00D4064E"/>
    <w:rsid w:val="00D41AD8"/>
    <w:rsid w:val="00D41AFB"/>
    <w:rsid w:val="00D43B47"/>
    <w:rsid w:val="00D44E9B"/>
    <w:rsid w:val="00D47AEB"/>
    <w:rsid w:val="00D50DB9"/>
    <w:rsid w:val="00D51302"/>
    <w:rsid w:val="00D52122"/>
    <w:rsid w:val="00D52C43"/>
    <w:rsid w:val="00D5462B"/>
    <w:rsid w:val="00D54AEA"/>
    <w:rsid w:val="00D550B1"/>
    <w:rsid w:val="00D559D7"/>
    <w:rsid w:val="00D60175"/>
    <w:rsid w:val="00D60184"/>
    <w:rsid w:val="00D60566"/>
    <w:rsid w:val="00D61243"/>
    <w:rsid w:val="00D618E4"/>
    <w:rsid w:val="00D61CB8"/>
    <w:rsid w:val="00D64B2E"/>
    <w:rsid w:val="00D64C35"/>
    <w:rsid w:val="00D6507F"/>
    <w:rsid w:val="00D65FF6"/>
    <w:rsid w:val="00D66A52"/>
    <w:rsid w:val="00D66B19"/>
    <w:rsid w:val="00D700DE"/>
    <w:rsid w:val="00D70854"/>
    <w:rsid w:val="00D7165B"/>
    <w:rsid w:val="00D730BC"/>
    <w:rsid w:val="00D7390E"/>
    <w:rsid w:val="00D73912"/>
    <w:rsid w:val="00D73C0F"/>
    <w:rsid w:val="00D73CFA"/>
    <w:rsid w:val="00D73DD0"/>
    <w:rsid w:val="00D74215"/>
    <w:rsid w:val="00D74223"/>
    <w:rsid w:val="00D766AC"/>
    <w:rsid w:val="00D8023B"/>
    <w:rsid w:val="00D80371"/>
    <w:rsid w:val="00D804B3"/>
    <w:rsid w:val="00D80772"/>
    <w:rsid w:val="00D811C8"/>
    <w:rsid w:val="00D81359"/>
    <w:rsid w:val="00D82805"/>
    <w:rsid w:val="00D830CC"/>
    <w:rsid w:val="00D835A8"/>
    <w:rsid w:val="00D83930"/>
    <w:rsid w:val="00D85226"/>
    <w:rsid w:val="00D8523A"/>
    <w:rsid w:val="00D85EAC"/>
    <w:rsid w:val="00D87B94"/>
    <w:rsid w:val="00D9063B"/>
    <w:rsid w:val="00D92340"/>
    <w:rsid w:val="00D92D49"/>
    <w:rsid w:val="00D92EC1"/>
    <w:rsid w:val="00D9312D"/>
    <w:rsid w:val="00D94045"/>
    <w:rsid w:val="00D94495"/>
    <w:rsid w:val="00D9589F"/>
    <w:rsid w:val="00D95924"/>
    <w:rsid w:val="00D96CE1"/>
    <w:rsid w:val="00D96DEA"/>
    <w:rsid w:val="00D97F89"/>
    <w:rsid w:val="00DA07EA"/>
    <w:rsid w:val="00DA0CF8"/>
    <w:rsid w:val="00DA0DE5"/>
    <w:rsid w:val="00DA0E29"/>
    <w:rsid w:val="00DA0EF4"/>
    <w:rsid w:val="00DA2DBF"/>
    <w:rsid w:val="00DA46D6"/>
    <w:rsid w:val="00DA4E41"/>
    <w:rsid w:val="00DA55C3"/>
    <w:rsid w:val="00DA6DFD"/>
    <w:rsid w:val="00DB0D1F"/>
    <w:rsid w:val="00DB0F83"/>
    <w:rsid w:val="00DB117A"/>
    <w:rsid w:val="00DB2FE2"/>
    <w:rsid w:val="00DB4670"/>
    <w:rsid w:val="00DB49FD"/>
    <w:rsid w:val="00DB5173"/>
    <w:rsid w:val="00DB5312"/>
    <w:rsid w:val="00DB754C"/>
    <w:rsid w:val="00DB7873"/>
    <w:rsid w:val="00DC0506"/>
    <w:rsid w:val="00DC0E8D"/>
    <w:rsid w:val="00DC187B"/>
    <w:rsid w:val="00DC3B76"/>
    <w:rsid w:val="00DC595A"/>
    <w:rsid w:val="00DC62FA"/>
    <w:rsid w:val="00DC6B71"/>
    <w:rsid w:val="00DD098B"/>
    <w:rsid w:val="00DD106F"/>
    <w:rsid w:val="00DD1A43"/>
    <w:rsid w:val="00DD1CF6"/>
    <w:rsid w:val="00DD2EE3"/>
    <w:rsid w:val="00DD3190"/>
    <w:rsid w:val="00DD435A"/>
    <w:rsid w:val="00DD4488"/>
    <w:rsid w:val="00DD4F23"/>
    <w:rsid w:val="00DD5712"/>
    <w:rsid w:val="00DD607B"/>
    <w:rsid w:val="00DD73C2"/>
    <w:rsid w:val="00DD7802"/>
    <w:rsid w:val="00DE1672"/>
    <w:rsid w:val="00DE18E3"/>
    <w:rsid w:val="00DE319B"/>
    <w:rsid w:val="00DE4399"/>
    <w:rsid w:val="00DE62D5"/>
    <w:rsid w:val="00DE6776"/>
    <w:rsid w:val="00DE70B5"/>
    <w:rsid w:val="00DE7D5F"/>
    <w:rsid w:val="00DE7FE8"/>
    <w:rsid w:val="00DF0CCD"/>
    <w:rsid w:val="00DF1292"/>
    <w:rsid w:val="00DF2B29"/>
    <w:rsid w:val="00DF34FE"/>
    <w:rsid w:val="00DF47C5"/>
    <w:rsid w:val="00DF4BE3"/>
    <w:rsid w:val="00DF56AA"/>
    <w:rsid w:val="00DF56AF"/>
    <w:rsid w:val="00DF72BD"/>
    <w:rsid w:val="00DF78E7"/>
    <w:rsid w:val="00E009FF"/>
    <w:rsid w:val="00E03073"/>
    <w:rsid w:val="00E0398B"/>
    <w:rsid w:val="00E07320"/>
    <w:rsid w:val="00E076D4"/>
    <w:rsid w:val="00E078E4"/>
    <w:rsid w:val="00E1054C"/>
    <w:rsid w:val="00E10CEF"/>
    <w:rsid w:val="00E110C4"/>
    <w:rsid w:val="00E110E0"/>
    <w:rsid w:val="00E11467"/>
    <w:rsid w:val="00E11C16"/>
    <w:rsid w:val="00E1248E"/>
    <w:rsid w:val="00E13BDB"/>
    <w:rsid w:val="00E15371"/>
    <w:rsid w:val="00E16078"/>
    <w:rsid w:val="00E16E0E"/>
    <w:rsid w:val="00E17163"/>
    <w:rsid w:val="00E17861"/>
    <w:rsid w:val="00E178FE"/>
    <w:rsid w:val="00E21056"/>
    <w:rsid w:val="00E21AAF"/>
    <w:rsid w:val="00E24104"/>
    <w:rsid w:val="00E25761"/>
    <w:rsid w:val="00E2755E"/>
    <w:rsid w:val="00E302D0"/>
    <w:rsid w:val="00E305CB"/>
    <w:rsid w:val="00E317ED"/>
    <w:rsid w:val="00E327D7"/>
    <w:rsid w:val="00E34C85"/>
    <w:rsid w:val="00E35707"/>
    <w:rsid w:val="00E35CA8"/>
    <w:rsid w:val="00E3613B"/>
    <w:rsid w:val="00E36AA1"/>
    <w:rsid w:val="00E37527"/>
    <w:rsid w:val="00E37B6E"/>
    <w:rsid w:val="00E37E55"/>
    <w:rsid w:val="00E41ECB"/>
    <w:rsid w:val="00E42676"/>
    <w:rsid w:val="00E43E33"/>
    <w:rsid w:val="00E4499A"/>
    <w:rsid w:val="00E44AA6"/>
    <w:rsid w:val="00E45C22"/>
    <w:rsid w:val="00E503FB"/>
    <w:rsid w:val="00E52F71"/>
    <w:rsid w:val="00E54664"/>
    <w:rsid w:val="00E54FDB"/>
    <w:rsid w:val="00E5617D"/>
    <w:rsid w:val="00E5617E"/>
    <w:rsid w:val="00E563D7"/>
    <w:rsid w:val="00E62138"/>
    <w:rsid w:val="00E6228A"/>
    <w:rsid w:val="00E63AB0"/>
    <w:rsid w:val="00E652E7"/>
    <w:rsid w:val="00E663F4"/>
    <w:rsid w:val="00E666F2"/>
    <w:rsid w:val="00E6695D"/>
    <w:rsid w:val="00E66DD4"/>
    <w:rsid w:val="00E71441"/>
    <w:rsid w:val="00E71872"/>
    <w:rsid w:val="00E7194A"/>
    <w:rsid w:val="00E72837"/>
    <w:rsid w:val="00E72AEE"/>
    <w:rsid w:val="00E7389F"/>
    <w:rsid w:val="00E7466C"/>
    <w:rsid w:val="00E748B3"/>
    <w:rsid w:val="00E748CC"/>
    <w:rsid w:val="00E74F15"/>
    <w:rsid w:val="00E75415"/>
    <w:rsid w:val="00E7588A"/>
    <w:rsid w:val="00E758CD"/>
    <w:rsid w:val="00E764AD"/>
    <w:rsid w:val="00E775B1"/>
    <w:rsid w:val="00E810A7"/>
    <w:rsid w:val="00E81480"/>
    <w:rsid w:val="00E8152A"/>
    <w:rsid w:val="00E82428"/>
    <w:rsid w:val="00E82870"/>
    <w:rsid w:val="00E857EE"/>
    <w:rsid w:val="00E8730E"/>
    <w:rsid w:val="00E879D4"/>
    <w:rsid w:val="00E90071"/>
    <w:rsid w:val="00E928AC"/>
    <w:rsid w:val="00E92D63"/>
    <w:rsid w:val="00E93629"/>
    <w:rsid w:val="00E93B5C"/>
    <w:rsid w:val="00E94CEC"/>
    <w:rsid w:val="00E96AE8"/>
    <w:rsid w:val="00E96EAF"/>
    <w:rsid w:val="00E97EFC"/>
    <w:rsid w:val="00EA04EF"/>
    <w:rsid w:val="00EA068E"/>
    <w:rsid w:val="00EA0969"/>
    <w:rsid w:val="00EA0C61"/>
    <w:rsid w:val="00EA2876"/>
    <w:rsid w:val="00EA35EC"/>
    <w:rsid w:val="00EA38A8"/>
    <w:rsid w:val="00EA444B"/>
    <w:rsid w:val="00EA65A9"/>
    <w:rsid w:val="00EA65BF"/>
    <w:rsid w:val="00EA6C79"/>
    <w:rsid w:val="00EA6F19"/>
    <w:rsid w:val="00EA7155"/>
    <w:rsid w:val="00EB0213"/>
    <w:rsid w:val="00EB2F4F"/>
    <w:rsid w:val="00EB36FB"/>
    <w:rsid w:val="00EB38ED"/>
    <w:rsid w:val="00EB38F2"/>
    <w:rsid w:val="00EB4BBB"/>
    <w:rsid w:val="00EB7090"/>
    <w:rsid w:val="00EB770F"/>
    <w:rsid w:val="00EB7BD9"/>
    <w:rsid w:val="00EC1BBE"/>
    <w:rsid w:val="00EC2B68"/>
    <w:rsid w:val="00EC3AEF"/>
    <w:rsid w:val="00EC3E5B"/>
    <w:rsid w:val="00EC44F5"/>
    <w:rsid w:val="00EC49BD"/>
    <w:rsid w:val="00EC5CD7"/>
    <w:rsid w:val="00EC6302"/>
    <w:rsid w:val="00ED08E2"/>
    <w:rsid w:val="00ED3CCB"/>
    <w:rsid w:val="00ED3F62"/>
    <w:rsid w:val="00ED6564"/>
    <w:rsid w:val="00ED727A"/>
    <w:rsid w:val="00EE0ED4"/>
    <w:rsid w:val="00EE18E8"/>
    <w:rsid w:val="00EE2686"/>
    <w:rsid w:val="00EE3159"/>
    <w:rsid w:val="00EE3A40"/>
    <w:rsid w:val="00EE3CC6"/>
    <w:rsid w:val="00EE5FB3"/>
    <w:rsid w:val="00EE6338"/>
    <w:rsid w:val="00EE7560"/>
    <w:rsid w:val="00EE77C2"/>
    <w:rsid w:val="00EE7A9A"/>
    <w:rsid w:val="00EE7F79"/>
    <w:rsid w:val="00EF344C"/>
    <w:rsid w:val="00EF410E"/>
    <w:rsid w:val="00EF537A"/>
    <w:rsid w:val="00EF715A"/>
    <w:rsid w:val="00F0042B"/>
    <w:rsid w:val="00F005F3"/>
    <w:rsid w:val="00F00822"/>
    <w:rsid w:val="00F024D2"/>
    <w:rsid w:val="00F02F46"/>
    <w:rsid w:val="00F048E3"/>
    <w:rsid w:val="00F05278"/>
    <w:rsid w:val="00F06E14"/>
    <w:rsid w:val="00F104D9"/>
    <w:rsid w:val="00F10740"/>
    <w:rsid w:val="00F108A0"/>
    <w:rsid w:val="00F119EC"/>
    <w:rsid w:val="00F16EB0"/>
    <w:rsid w:val="00F179D4"/>
    <w:rsid w:val="00F20B7E"/>
    <w:rsid w:val="00F213FE"/>
    <w:rsid w:val="00F217B5"/>
    <w:rsid w:val="00F21E64"/>
    <w:rsid w:val="00F22A23"/>
    <w:rsid w:val="00F2554B"/>
    <w:rsid w:val="00F25B0A"/>
    <w:rsid w:val="00F26FAA"/>
    <w:rsid w:val="00F27A9C"/>
    <w:rsid w:val="00F27E19"/>
    <w:rsid w:val="00F31A7C"/>
    <w:rsid w:val="00F3232B"/>
    <w:rsid w:val="00F324C7"/>
    <w:rsid w:val="00F33C56"/>
    <w:rsid w:val="00F347C7"/>
    <w:rsid w:val="00F34848"/>
    <w:rsid w:val="00F35F7C"/>
    <w:rsid w:val="00F361D7"/>
    <w:rsid w:val="00F37395"/>
    <w:rsid w:val="00F4103A"/>
    <w:rsid w:val="00F42483"/>
    <w:rsid w:val="00F42D46"/>
    <w:rsid w:val="00F4496C"/>
    <w:rsid w:val="00F44F3A"/>
    <w:rsid w:val="00F44F87"/>
    <w:rsid w:val="00F46287"/>
    <w:rsid w:val="00F465CF"/>
    <w:rsid w:val="00F51F10"/>
    <w:rsid w:val="00F529A5"/>
    <w:rsid w:val="00F5310D"/>
    <w:rsid w:val="00F54614"/>
    <w:rsid w:val="00F549C9"/>
    <w:rsid w:val="00F60F00"/>
    <w:rsid w:val="00F61247"/>
    <w:rsid w:val="00F614C0"/>
    <w:rsid w:val="00F6194E"/>
    <w:rsid w:val="00F62C87"/>
    <w:rsid w:val="00F63F25"/>
    <w:rsid w:val="00F63F27"/>
    <w:rsid w:val="00F651A5"/>
    <w:rsid w:val="00F6635B"/>
    <w:rsid w:val="00F66CA3"/>
    <w:rsid w:val="00F66DDC"/>
    <w:rsid w:val="00F67605"/>
    <w:rsid w:val="00F71DDC"/>
    <w:rsid w:val="00F71EA6"/>
    <w:rsid w:val="00F72174"/>
    <w:rsid w:val="00F72319"/>
    <w:rsid w:val="00F723BE"/>
    <w:rsid w:val="00F73145"/>
    <w:rsid w:val="00F73464"/>
    <w:rsid w:val="00F74701"/>
    <w:rsid w:val="00F75461"/>
    <w:rsid w:val="00F76BC8"/>
    <w:rsid w:val="00F76D64"/>
    <w:rsid w:val="00F77316"/>
    <w:rsid w:val="00F8121D"/>
    <w:rsid w:val="00F82311"/>
    <w:rsid w:val="00F83848"/>
    <w:rsid w:val="00F8397E"/>
    <w:rsid w:val="00F854C1"/>
    <w:rsid w:val="00F86DAC"/>
    <w:rsid w:val="00F9009C"/>
    <w:rsid w:val="00F915C9"/>
    <w:rsid w:val="00F92D2E"/>
    <w:rsid w:val="00F9308E"/>
    <w:rsid w:val="00F9338C"/>
    <w:rsid w:val="00F939F8"/>
    <w:rsid w:val="00F9431C"/>
    <w:rsid w:val="00F961E7"/>
    <w:rsid w:val="00F9706F"/>
    <w:rsid w:val="00F975E9"/>
    <w:rsid w:val="00F97A50"/>
    <w:rsid w:val="00FA1B7D"/>
    <w:rsid w:val="00FA1E63"/>
    <w:rsid w:val="00FA590A"/>
    <w:rsid w:val="00FA74BD"/>
    <w:rsid w:val="00FA7609"/>
    <w:rsid w:val="00FA76F0"/>
    <w:rsid w:val="00FA7C56"/>
    <w:rsid w:val="00FB116B"/>
    <w:rsid w:val="00FB3192"/>
    <w:rsid w:val="00FB459E"/>
    <w:rsid w:val="00FB4B8B"/>
    <w:rsid w:val="00FB511E"/>
    <w:rsid w:val="00FB5C09"/>
    <w:rsid w:val="00FB72BD"/>
    <w:rsid w:val="00FB7A3F"/>
    <w:rsid w:val="00FC07B9"/>
    <w:rsid w:val="00FC0B68"/>
    <w:rsid w:val="00FC0BE1"/>
    <w:rsid w:val="00FC0BF9"/>
    <w:rsid w:val="00FC21C7"/>
    <w:rsid w:val="00FC319B"/>
    <w:rsid w:val="00FC43B1"/>
    <w:rsid w:val="00FC4E21"/>
    <w:rsid w:val="00FC5F6D"/>
    <w:rsid w:val="00FC6648"/>
    <w:rsid w:val="00FC6BB2"/>
    <w:rsid w:val="00FD0107"/>
    <w:rsid w:val="00FD126B"/>
    <w:rsid w:val="00FD1351"/>
    <w:rsid w:val="00FD1B2F"/>
    <w:rsid w:val="00FD2523"/>
    <w:rsid w:val="00FD2C2F"/>
    <w:rsid w:val="00FD3B31"/>
    <w:rsid w:val="00FD3B6E"/>
    <w:rsid w:val="00FD3D7C"/>
    <w:rsid w:val="00FD4D46"/>
    <w:rsid w:val="00FD4E11"/>
    <w:rsid w:val="00FD51FA"/>
    <w:rsid w:val="00FE1393"/>
    <w:rsid w:val="00FE176D"/>
    <w:rsid w:val="00FE1823"/>
    <w:rsid w:val="00FE1CEA"/>
    <w:rsid w:val="00FE429C"/>
    <w:rsid w:val="00FE487A"/>
    <w:rsid w:val="00FE4919"/>
    <w:rsid w:val="00FE76CE"/>
    <w:rsid w:val="00FE7795"/>
    <w:rsid w:val="00FE7831"/>
    <w:rsid w:val="00FE7C95"/>
    <w:rsid w:val="00FF03CE"/>
    <w:rsid w:val="00FF0569"/>
    <w:rsid w:val="00FF184E"/>
    <w:rsid w:val="00FF206E"/>
    <w:rsid w:val="00FF2E38"/>
    <w:rsid w:val="00FF3C69"/>
    <w:rsid w:val="00FF5C38"/>
    <w:rsid w:val="00FF5CF8"/>
    <w:rsid w:val="00FF6E0A"/>
    <w:rsid w:val="00FF7692"/>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red,#4d4d4f"/>
    </o:shapedefaults>
    <o:shapelayout v:ext="edit">
      <o:idmap v:ext="edit" data="2"/>
    </o:shapelayout>
  </w:shapeDefaults>
  <w:decimalSymbol w:val="."/>
  <w:listSeparator w:val=","/>
  <w14:docId w14:val="0426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lsdException w:name="Title"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qFormat="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390D91"/>
    <w:pPr>
      <w:spacing w:after="240" w:line="240" w:lineRule="atLeast"/>
    </w:pPr>
    <w:rPr>
      <w:rFonts w:ascii="Arial" w:hAnsi="Arial"/>
      <w:sz w:val="20"/>
    </w:rPr>
  </w:style>
  <w:style w:type="paragraph" w:styleId="Heading1">
    <w:name w:val="heading 1"/>
    <w:basedOn w:val="Normal"/>
    <w:next w:val="Normal"/>
    <w:link w:val="Heading1Char"/>
    <w:uiPriority w:val="1"/>
    <w:qFormat/>
    <w:rsid w:val="00C55235"/>
    <w:pPr>
      <w:keepNext/>
      <w:pageBreakBefore/>
      <w:widowControl w:val="0"/>
      <w:spacing w:after="360" w:line="550" w:lineRule="exact"/>
      <w:outlineLvl w:val="0"/>
    </w:pPr>
    <w:rPr>
      <w:rFonts w:cs="Arial"/>
      <w:bCs/>
      <w:color w:val="323232"/>
      <w:kern w:val="32"/>
      <w:sz w:val="53"/>
      <w:szCs w:val="32"/>
    </w:rPr>
  </w:style>
  <w:style w:type="paragraph" w:styleId="Heading2">
    <w:name w:val="heading 2"/>
    <w:basedOn w:val="Normal"/>
    <w:next w:val="Paragraph"/>
    <w:link w:val="Heading2Char"/>
    <w:uiPriority w:val="1"/>
    <w:qFormat/>
    <w:rsid w:val="00C55235"/>
    <w:pPr>
      <w:keepNext/>
      <w:spacing w:before="320" w:after="60"/>
      <w:outlineLvl w:val="1"/>
    </w:pPr>
    <w:rPr>
      <w:rFonts w:cs="Arial"/>
      <w:b/>
      <w:bCs/>
      <w:iCs/>
      <w:sz w:val="28"/>
      <w:szCs w:val="28"/>
    </w:rPr>
  </w:style>
  <w:style w:type="paragraph" w:styleId="Heading3">
    <w:name w:val="heading 3"/>
    <w:basedOn w:val="Normal"/>
    <w:next w:val="Normal"/>
    <w:link w:val="Heading3Char"/>
    <w:uiPriority w:val="2"/>
    <w:qFormat/>
    <w:rsid w:val="00C55235"/>
    <w:pPr>
      <w:keepNext/>
      <w:spacing w:before="60" w:after="60"/>
      <w:outlineLvl w:val="2"/>
    </w:pPr>
    <w:rPr>
      <w:rFonts w:cs="Arial"/>
      <w:b/>
      <w:bCs/>
      <w:szCs w:val="26"/>
    </w:rPr>
  </w:style>
  <w:style w:type="paragraph" w:styleId="Heading4">
    <w:name w:val="heading 4"/>
    <w:basedOn w:val="BodySubHeader"/>
    <w:next w:val="Normal"/>
    <w:uiPriority w:val="3"/>
    <w:qFormat/>
    <w:rsid w:val="005B2F0D"/>
    <w:pPr>
      <w:outlineLvl w:val="3"/>
    </w:pPr>
    <w:rPr>
      <w:rFonts w:cs="Arial"/>
    </w:rPr>
  </w:style>
  <w:style w:type="paragraph" w:styleId="Heading5">
    <w:name w:val="heading 5"/>
    <w:basedOn w:val="Normal"/>
    <w:next w:val="Normal"/>
    <w:semiHidden/>
    <w:qFormat/>
    <w:rsid w:val="00AD5436"/>
    <w:pPr>
      <w:numPr>
        <w:ilvl w:val="4"/>
        <w:numId w:val="5"/>
      </w:numPr>
      <w:spacing w:before="240" w:after="60"/>
      <w:outlineLvl w:val="4"/>
    </w:pPr>
    <w:rPr>
      <w:b/>
      <w:bCs/>
      <w:i/>
      <w:iCs/>
      <w:sz w:val="26"/>
      <w:szCs w:val="26"/>
    </w:rPr>
  </w:style>
  <w:style w:type="paragraph" w:styleId="Heading6">
    <w:name w:val="heading 6"/>
    <w:basedOn w:val="Normal"/>
    <w:next w:val="Normal"/>
    <w:semiHidden/>
    <w:qFormat/>
    <w:rsid w:val="00AD5436"/>
    <w:pPr>
      <w:numPr>
        <w:ilvl w:val="5"/>
        <w:numId w:val="5"/>
      </w:numPr>
      <w:spacing w:before="240" w:after="60"/>
      <w:outlineLvl w:val="5"/>
    </w:pPr>
    <w:rPr>
      <w:rFonts w:ascii="Times New Roman" w:hAnsi="Times New Roman"/>
      <w:b/>
      <w:bCs/>
      <w:sz w:val="22"/>
      <w:szCs w:val="22"/>
    </w:rPr>
  </w:style>
  <w:style w:type="paragraph" w:styleId="Heading7">
    <w:name w:val="heading 7"/>
    <w:basedOn w:val="Normal"/>
    <w:next w:val="Normal"/>
    <w:semiHidden/>
    <w:qFormat/>
    <w:rsid w:val="00AD5436"/>
    <w:pPr>
      <w:numPr>
        <w:ilvl w:val="6"/>
        <w:numId w:val="5"/>
      </w:numPr>
      <w:spacing w:before="240" w:after="60"/>
      <w:outlineLvl w:val="6"/>
    </w:pPr>
    <w:rPr>
      <w:rFonts w:ascii="Times New Roman" w:hAnsi="Times New Roman"/>
      <w:sz w:val="24"/>
    </w:rPr>
  </w:style>
  <w:style w:type="paragraph" w:styleId="Heading8">
    <w:name w:val="heading 8"/>
    <w:basedOn w:val="Normal"/>
    <w:next w:val="Normal"/>
    <w:semiHidden/>
    <w:qFormat/>
    <w:rsid w:val="00AD5436"/>
    <w:pPr>
      <w:numPr>
        <w:ilvl w:val="7"/>
        <w:numId w:val="5"/>
      </w:numPr>
      <w:spacing w:before="240" w:after="60"/>
      <w:outlineLvl w:val="7"/>
    </w:pPr>
    <w:rPr>
      <w:rFonts w:ascii="Times New Roman" w:hAnsi="Times New Roman"/>
      <w:i/>
      <w:iCs/>
      <w:sz w:val="24"/>
    </w:rPr>
  </w:style>
  <w:style w:type="paragraph" w:styleId="Heading9">
    <w:name w:val="heading 9"/>
    <w:basedOn w:val="Normal"/>
    <w:next w:val="Normal"/>
    <w:semiHidden/>
    <w:qFormat/>
    <w:rsid w:val="00AD5436"/>
    <w:pPr>
      <w:numPr>
        <w:ilvl w:val="8"/>
        <w:numId w:val="5"/>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791C"/>
    <w:pPr>
      <w:tabs>
        <w:tab w:val="center" w:pos="4153"/>
        <w:tab w:val="right" w:pos="8306"/>
      </w:tabs>
      <w:spacing w:line="240" w:lineRule="auto"/>
    </w:pPr>
    <w:rPr>
      <w:sz w:val="16"/>
    </w:rPr>
  </w:style>
  <w:style w:type="paragraph" w:styleId="Footer">
    <w:name w:val="footer"/>
    <w:basedOn w:val="Normal"/>
    <w:link w:val="FooterChar"/>
    <w:semiHidden/>
    <w:qFormat/>
    <w:rsid w:val="0094078F"/>
    <w:pPr>
      <w:tabs>
        <w:tab w:val="right" w:pos="113"/>
      </w:tabs>
      <w:spacing w:line="240" w:lineRule="auto"/>
    </w:pPr>
    <w:rPr>
      <w:color w:val="323232"/>
      <w:sz w:val="16"/>
    </w:rPr>
  </w:style>
  <w:style w:type="character" w:customStyle="1" w:styleId="FooterChar">
    <w:name w:val="Footer Char"/>
    <w:basedOn w:val="DefaultParagraphFont"/>
    <w:link w:val="Footer"/>
    <w:semiHidden/>
    <w:rsid w:val="00EC2B68"/>
    <w:rPr>
      <w:rFonts w:ascii="Arial" w:hAnsi="Arial"/>
      <w:color w:val="323232"/>
      <w:sz w:val="16"/>
    </w:rPr>
  </w:style>
  <w:style w:type="paragraph" w:customStyle="1" w:styleId="Reporttitle">
    <w:name w:val="Report title"/>
    <w:basedOn w:val="Normal"/>
    <w:uiPriority w:val="19"/>
    <w:qFormat/>
    <w:rsid w:val="00A51D1A"/>
    <w:pPr>
      <w:spacing w:after="0" w:line="560" w:lineRule="exact"/>
    </w:pPr>
    <w:rPr>
      <w:b/>
      <w:spacing w:val="-28"/>
      <w:sz w:val="53"/>
    </w:rPr>
  </w:style>
  <w:style w:type="paragraph" w:customStyle="1" w:styleId="Reportsubtitle">
    <w:name w:val="Report subtitle"/>
    <w:basedOn w:val="Normal"/>
    <w:uiPriority w:val="20"/>
    <w:qFormat/>
    <w:rsid w:val="00950159"/>
    <w:pPr>
      <w:spacing w:after="200" w:line="560" w:lineRule="exact"/>
    </w:pPr>
    <w:rPr>
      <w:color w:val="323232"/>
      <w:spacing w:val="-28"/>
      <w:sz w:val="53"/>
    </w:rPr>
  </w:style>
  <w:style w:type="table" w:styleId="TableGrid">
    <w:name w:val="Table Grid"/>
    <w:basedOn w:val="TableNormal"/>
    <w:uiPriority w:val="59"/>
    <w:rsid w:val="0022681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date">
    <w:name w:val="Report date"/>
    <w:basedOn w:val="Reportsubtitle"/>
    <w:uiPriority w:val="21"/>
    <w:qFormat/>
    <w:rsid w:val="00950159"/>
    <w:pPr>
      <w:spacing w:after="1200" w:line="240" w:lineRule="auto"/>
    </w:pPr>
    <w:rPr>
      <w:caps/>
      <w:spacing w:val="-10"/>
      <w:sz w:val="20"/>
    </w:rPr>
  </w:style>
  <w:style w:type="paragraph" w:customStyle="1" w:styleId="Tableheaderrow">
    <w:name w:val="Table header row"/>
    <w:basedOn w:val="Normal"/>
    <w:uiPriority w:val="14"/>
    <w:qFormat/>
    <w:rsid w:val="00774FDB"/>
    <w:pPr>
      <w:spacing w:after="0"/>
    </w:pPr>
    <w:rPr>
      <w:b/>
    </w:rPr>
  </w:style>
  <w:style w:type="paragraph" w:customStyle="1" w:styleId="PageNumber">
    <w:name w:val="PageNumber"/>
    <w:basedOn w:val="Normal"/>
    <w:semiHidden/>
    <w:rsid w:val="0070791C"/>
    <w:pPr>
      <w:spacing w:line="240" w:lineRule="auto"/>
    </w:pPr>
    <w:rPr>
      <w:sz w:val="16"/>
    </w:rPr>
  </w:style>
  <w:style w:type="paragraph" w:customStyle="1" w:styleId="Copyright">
    <w:name w:val="Copyright"/>
    <w:basedOn w:val="Normal"/>
    <w:semiHidden/>
    <w:rsid w:val="00454596"/>
    <w:pPr>
      <w:spacing w:line="160" w:lineRule="exact"/>
    </w:pPr>
    <w:rPr>
      <w:color w:val="4D4D4F"/>
      <w:sz w:val="13"/>
    </w:rPr>
  </w:style>
  <w:style w:type="paragraph" w:styleId="TOCHeading">
    <w:name w:val="TOC Heading"/>
    <w:basedOn w:val="Normal"/>
    <w:semiHidden/>
    <w:qFormat/>
    <w:rsid w:val="00950159"/>
    <w:pPr>
      <w:spacing w:before="1200" w:line="240" w:lineRule="auto"/>
    </w:pPr>
    <w:rPr>
      <w:b/>
      <w:color w:val="323232"/>
      <w:spacing w:val="-28"/>
      <w:sz w:val="53"/>
    </w:rPr>
  </w:style>
  <w:style w:type="paragraph" w:styleId="Caption">
    <w:name w:val="caption"/>
    <w:aliases w:val="Caption table"/>
    <w:basedOn w:val="Normal"/>
    <w:next w:val="Normal"/>
    <w:semiHidden/>
    <w:qFormat/>
    <w:rsid w:val="00E8152A"/>
    <w:pPr>
      <w:numPr>
        <w:numId w:val="9"/>
      </w:numPr>
      <w:spacing w:after="0"/>
    </w:pPr>
    <w:rPr>
      <w:b/>
      <w:bCs/>
      <w:color w:val="323232"/>
      <w:szCs w:val="20"/>
    </w:rPr>
  </w:style>
  <w:style w:type="paragraph" w:customStyle="1" w:styleId="BodySubHeader">
    <w:name w:val="BodySubHeader"/>
    <w:basedOn w:val="Normal"/>
    <w:next w:val="Normal"/>
    <w:semiHidden/>
    <w:rsid w:val="00146CE6"/>
    <w:pPr>
      <w:spacing w:before="240" w:after="0"/>
    </w:pPr>
    <w:rPr>
      <w:b/>
      <w:i/>
    </w:rPr>
  </w:style>
  <w:style w:type="paragraph" w:styleId="ListBullet">
    <w:name w:val="List Bullet"/>
    <w:basedOn w:val="Normal"/>
    <w:qFormat/>
    <w:rsid w:val="001C6AEE"/>
    <w:pPr>
      <w:numPr>
        <w:numId w:val="1"/>
      </w:numPr>
      <w:spacing w:after="80"/>
    </w:pPr>
  </w:style>
  <w:style w:type="paragraph" w:styleId="ListBullet2">
    <w:name w:val="List Bullet 2"/>
    <w:basedOn w:val="Normal"/>
    <w:semiHidden/>
    <w:qFormat/>
    <w:rsid w:val="001C6AEE"/>
    <w:pPr>
      <w:numPr>
        <w:numId w:val="2"/>
      </w:numPr>
      <w:spacing w:after="80"/>
    </w:pPr>
  </w:style>
  <w:style w:type="paragraph" w:styleId="ListNumber">
    <w:name w:val="List Number"/>
    <w:basedOn w:val="Normal"/>
    <w:semiHidden/>
    <w:qFormat/>
    <w:rsid w:val="00C24A53"/>
    <w:pPr>
      <w:numPr>
        <w:numId w:val="3"/>
      </w:numPr>
      <w:spacing w:after="80"/>
    </w:pPr>
  </w:style>
  <w:style w:type="paragraph" w:styleId="ListNumber2">
    <w:name w:val="List Number 2"/>
    <w:basedOn w:val="Normal"/>
    <w:semiHidden/>
    <w:qFormat/>
    <w:rsid w:val="004A70D6"/>
    <w:pPr>
      <w:numPr>
        <w:numId w:val="4"/>
      </w:numPr>
      <w:spacing w:after="80"/>
      <w:ind w:left="828" w:hanging="357"/>
    </w:pPr>
  </w:style>
  <w:style w:type="paragraph" w:customStyle="1" w:styleId="URLEmail">
    <w:name w:val="URL/Email"/>
    <w:basedOn w:val="Normal"/>
    <w:semiHidden/>
    <w:rsid w:val="00302480"/>
    <w:rPr>
      <w:color w:val="4D4D4F"/>
      <w:spacing w:val="4"/>
    </w:rPr>
  </w:style>
  <w:style w:type="paragraph" w:customStyle="1" w:styleId="Execsummaryheading">
    <w:name w:val="Exec summary heading"/>
    <w:basedOn w:val="Normal"/>
    <w:uiPriority w:val="22"/>
    <w:qFormat/>
    <w:rsid w:val="006B52DE"/>
    <w:pPr>
      <w:pageBreakBefore/>
      <w:spacing w:after="1440" w:line="550" w:lineRule="exact"/>
    </w:pPr>
    <w:rPr>
      <w:b/>
      <w:color w:val="323232"/>
      <w:spacing w:val="-18"/>
      <w:sz w:val="53"/>
    </w:rPr>
  </w:style>
  <w:style w:type="character" w:styleId="PageNumber0">
    <w:name w:val="page number"/>
    <w:basedOn w:val="DefaultParagraphFont"/>
    <w:semiHidden/>
    <w:rsid w:val="00542377"/>
  </w:style>
  <w:style w:type="paragraph" w:styleId="ListContinue5">
    <w:name w:val="List Continue 5"/>
    <w:basedOn w:val="Normal"/>
    <w:semiHidden/>
    <w:rsid w:val="00EC2B68"/>
    <w:pPr>
      <w:spacing w:after="120"/>
      <w:ind w:left="1415"/>
      <w:contextualSpacing/>
    </w:pPr>
  </w:style>
  <w:style w:type="paragraph" w:customStyle="1" w:styleId="Paragraphbeforelist">
    <w:name w:val="Paragraph before list"/>
    <w:basedOn w:val="Paragraph"/>
    <w:uiPriority w:val="4"/>
    <w:qFormat/>
    <w:rsid w:val="00C87E8A"/>
    <w:pPr>
      <w:spacing w:after="80"/>
    </w:pPr>
  </w:style>
  <w:style w:type="paragraph" w:styleId="TOC1">
    <w:name w:val="toc 1"/>
    <w:basedOn w:val="Normal"/>
    <w:next w:val="Normal"/>
    <w:uiPriority w:val="39"/>
    <w:qFormat/>
    <w:rsid w:val="007A6CC0"/>
    <w:pPr>
      <w:tabs>
        <w:tab w:val="right" w:pos="7660"/>
      </w:tabs>
      <w:spacing w:before="280" w:after="80" w:line="320" w:lineRule="exact"/>
      <w:ind w:right="851"/>
    </w:pPr>
    <w:rPr>
      <w:b/>
      <w:noProof/>
      <w:spacing w:val="-14"/>
      <w:sz w:val="28"/>
    </w:rPr>
  </w:style>
  <w:style w:type="paragraph" w:styleId="TOC2">
    <w:name w:val="toc 2"/>
    <w:basedOn w:val="Normal"/>
    <w:next w:val="Normal"/>
    <w:uiPriority w:val="39"/>
    <w:qFormat/>
    <w:rsid w:val="007A6CC0"/>
    <w:pPr>
      <w:tabs>
        <w:tab w:val="right" w:pos="7660"/>
      </w:tabs>
      <w:spacing w:after="80" w:line="300" w:lineRule="exact"/>
      <w:ind w:left="885" w:hanging="885"/>
    </w:pPr>
    <w:rPr>
      <w:noProof/>
      <w:spacing w:val="-14"/>
      <w:sz w:val="26"/>
      <w:szCs w:val="26"/>
    </w:rPr>
  </w:style>
  <w:style w:type="paragraph" w:styleId="TableofFigures">
    <w:name w:val="table of figures"/>
    <w:basedOn w:val="Normal"/>
    <w:next w:val="Normal"/>
    <w:semiHidden/>
    <w:rsid w:val="00AD3082"/>
    <w:pPr>
      <w:tabs>
        <w:tab w:val="right" w:pos="7615"/>
      </w:tabs>
      <w:spacing w:line="320" w:lineRule="exact"/>
    </w:pPr>
    <w:rPr>
      <w:noProof/>
      <w:color w:val="808285"/>
      <w:sz w:val="28"/>
    </w:rPr>
  </w:style>
  <w:style w:type="paragraph" w:styleId="TOC3">
    <w:name w:val="toc 3"/>
    <w:basedOn w:val="Normal"/>
    <w:next w:val="Normal"/>
    <w:uiPriority w:val="39"/>
    <w:qFormat/>
    <w:rsid w:val="007A6CC0"/>
    <w:pPr>
      <w:tabs>
        <w:tab w:val="right" w:pos="7661"/>
      </w:tabs>
      <w:spacing w:after="80" w:line="240" w:lineRule="auto"/>
    </w:pPr>
    <w:rPr>
      <w:noProof/>
      <w:sz w:val="22"/>
      <w:szCs w:val="22"/>
    </w:rPr>
  </w:style>
  <w:style w:type="character" w:styleId="Hyperlink">
    <w:name w:val="Hyperlink"/>
    <w:basedOn w:val="DefaultParagraphFont"/>
    <w:uiPriority w:val="99"/>
    <w:qFormat/>
    <w:rsid w:val="00C35CCE"/>
    <w:rPr>
      <w:color w:val="0000FF"/>
      <w:u w:val="single" w:color="0000FF"/>
    </w:rPr>
  </w:style>
  <w:style w:type="character" w:styleId="FootnoteReference">
    <w:name w:val="footnote reference"/>
    <w:aliases w:val="Appel note de bas de p,Appel note de bas de p + 11 pt,Italic"/>
    <w:basedOn w:val="DefaultParagraphFont"/>
    <w:rsid w:val="00566AB4"/>
    <w:rPr>
      <w:rFonts w:ascii="Arial" w:hAnsi="Arial"/>
      <w:vertAlign w:val="superscript"/>
    </w:rPr>
  </w:style>
  <w:style w:type="paragraph" w:styleId="FootnoteText">
    <w:name w:val="footnote text"/>
    <w:aliases w:val="Footnote text,ACMA Footnote Text,ABA Footnote Text,Footnote Text Char Char,ACMA Footnote Text Char Char,ACMA Footnote Text Char1"/>
    <w:basedOn w:val="Normal"/>
    <w:link w:val="FootnoteTextChar"/>
    <w:qFormat/>
    <w:rsid w:val="00F9706F"/>
    <w:pPr>
      <w:spacing w:after="0" w:line="200" w:lineRule="atLeast"/>
    </w:pPr>
    <w:rPr>
      <w:sz w:val="16"/>
      <w:szCs w:val="16"/>
    </w:rPr>
  </w:style>
  <w:style w:type="paragraph" w:customStyle="1" w:styleId="TableBody">
    <w:name w:val="Table Body"/>
    <w:basedOn w:val="Normal"/>
    <w:uiPriority w:val="15"/>
    <w:qFormat/>
    <w:rsid w:val="00774FDB"/>
    <w:pPr>
      <w:spacing w:after="0" w:line="240" w:lineRule="auto"/>
    </w:pPr>
  </w:style>
  <w:style w:type="character" w:styleId="CommentReference">
    <w:name w:val="annotation reference"/>
    <w:basedOn w:val="DefaultParagraphFont"/>
    <w:uiPriority w:val="99"/>
    <w:semiHidden/>
    <w:rsid w:val="00EE7F79"/>
    <w:rPr>
      <w:sz w:val="16"/>
      <w:szCs w:val="16"/>
    </w:rPr>
  </w:style>
  <w:style w:type="paragraph" w:styleId="CommentText">
    <w:name w:val="annotation text"/>
    <w:basedOn w:val="Normal"/>
    <w:link w:val="CommentTextChar"/>
    <w:uiPriority w:val="99"/>
    <w:rsid w:val="00EE7F79"/>
    <w:pPr>
      <w:spacing w:line="240" w:lineRule="auto"/>
    </w:pPr>
    <w:rPr>
      <w:szCs w:val="20"/>
    </w:rPr>
  </w:style>
  <w:style w:type="character" w:customStyle="1" w:styleId="CommentTextChar">
    <w:name w:val="Comment Text Char"/>
    <w:basedOn w:val="DefaultParagraphFont"/>
    <w:link w:val="CommentText"/>
    <w:uiPriority w:val="99"/>
    <w:rsid w:val="00EE7F79"/>
    <w:rPr>
      <w:rFonts w:ascii="Arial" w:hAnsi="Arial"/>
    </w:rPr>
  </w:style>
  <w:style w:type="paragraph" w:styleId="CommentSubject">
    <w:name w:val="annotation subject"/>
    <w:basedOn w:val="CommentText"/>
    <w:next w:val="CommentText"/>
    <w:link w:val="CommentSubjectChar"/>
    <w:semiHidden/>
    <w:rsid w:val="00EE7F79"/>
    <w:rPr>
      <w:b/>
      <w:bCs/>
    </w:rPr>
  </w:style>
  <w:style w:type="character" w:customStyle="1" w:styleId="CommentSubjectChar">
    <w:name w:val="Comment Subject Char"/>
    <w:basedOn w:val="CommentTextChar"/>
    <w:link w:val="CommentSubject"/>
    <w:semiHidden/>
    <w:rsid w:val="00EE7F79"/>
    <w:rPr>
      <w:rFonts w:ascii="Arial" w:hAnsi="Arial"/>
      <w:b/>
      <w:bCs/>
    </w:rPr>
  </w:style>
  <w:style w:type="character" w:styleId="FollowedHyperlink">
    <w:name w:val="FollowedHyperlink"/>
    <w:basedOn w:val="DefaultParagraphFont"/>
    <w:semiHidden/>
    <w:rsid w:val="00F60F00"/>
    <w:rPr>
      <w:color w:val="800080" w:themeColor="followedHyperlink"/>
      <w:u w:val="single"/>
    </w:rPr>
  </w:style>
  <w:style w:type="character" w:styleId="PlaceholderText">
    <w:name w:val="Placeholder Text"/>
    <w:basedOn w:val="DefaultParagraphFont"/>
    <w:uiPriority w:val="99"/>
    <w:semiHidden/>
    <w:rsid w:val="00C97736"/>
    <w:rPr>
      <w:color w:val="808080"/>
    </w:rPr>
  </w:style>
  <w:style w:type="paragraph" w:customStyle="1" w:styleId="ACMAInstructions">
    <w:name w:val="ACMA_Instructions"/>
    <w:basedOn w:val="Normal"/>
    <w:semiHidden/>
    <w:unhideWhenUsed/>
    <w:qFormat/>
    <w:rsid w:val="00BF610C"/>
    <w:pPr>
      <w:spacing w:after="200"/>
    </w:pPr>
    <w:rPr>
      <w:rFonts w:cs="Arial"/>
      <w:b/>
      <w:vanish/>
      <w:sz w:val="24"/>
    </w:rPr>
  </w:style>
  <w:style w:type="paragraph" w:customStyle="1" w:styleId="CorporateAddresses">
    <w:name w:val="Corporate Addresses"/>
    <w:basedOn w:val="Normal"/>
    <w:semiHidden/>
    <w:rsid w:val="0005011A"/>
    <w:pPr>
      <w:spacing w:line="140" w:lineRule="exact"/>
    </w:pPr>
    <w:rPr>
      <w:color w:val="4D4D4F"/>
      <w:sz w:val="13"/>
    </w:rPr>
  </w:style>
  <w:style w:type="paragraph" w:customStyle="1" w:styleId="Bulletlevel1">
    <w:name w:val="Bullet level 1"/>
    <w:basedOn w:val="ListBullet"/>
    <w:uiPriority w:val="5"/>
    <w:qFormat/>
    <w:rsid w:val="00A824E8"/>
    <w:rPr>
      <w:rFonts w:cs="Arial"/>
    </w:rPr>
  </w:style>
  <w:style w:type="paragraph" w:customStyle="1" w:styleId="ACMACorporateAddressHeader">
    <w:name w:val="ACMA_CorporateAddressHeader"/>
    <w:basedOn w:val="Normal"/>
    <w:next w:val="ACMACorporateAddresses"/>
    <w:semiHidden/>
    <w:unhideWhenUsed/>
    <w:qFormat/>
    <w:rsid w:val="00FC07B9"/>
    <w:pPr>
      <w:tabs>
        <w:tab w:val="left" w:pos="142"/>
      </w:tabs>
      <w:spacing w:before="240" w:after="0" w:line="140" w:lineRule="exact"/>
    </w:pPr>
    <w:rPr>
      <w:b/>
      <w:sz w:val="13"/>
    </w:rPr>
  </w:style>
  <w:style w:type="paragraph" w:customStyle="1" w:styleId="ACMACorporateAddresses">
    <w:name w:val="ACMA_CorporateAddresses"/>
    <w:basedOn w:val="ACMACorporateAddressHeader"/>
    <w:semiHidden/>
    <w:unhideWhenUsed/>
    <w:qFormat/>
    <w:rsid w:val="00FC07B9"/>
    <w:pPr>
      <w:spacing w:before="0" w:after="120"/>
    </w:pPr>
    <w:rPr>
      <w:b w:val="0"/>
    </w:rPr>
  </w:style>
  <w:style w:type="paragraph" w:customStyle="1" w:styleId="ACMACopyrightHeader">
    <w:name w:val="ACMA_CopyrightHeader"/>
    <w:basedOn w:val="ACMACorporateAddressHeader"/>
    <w:semiHidden/>
    <w:unhideWhenUsed/>
    <w:qFormat/>
    <w:rsid w:val="00950159"/>
    <w:pPr>
      <w:spacing w:before="3000"/>
    </w:pPr>
  </w:style>
  <w:style w:type="paragraph" w:customStyle="1" w:styleId="ACMACClogo">
    <w:name w:val="ACMA_CClogo"/>
    <w:semiHidden/>
    <w:unhideWhenUsed/>
    <w:qFormat/>
    <w:rsid w:val="00623FF9"/>
    <w:pPr>
      <w:spacing w:before="160" w:after="120"/>
    </w:pPr>
    <w:rPr>
      <w:rFonts w:ascii="Arial" w:hAnsi="Arial"/>
      <w:b/>
      <w:sz w:val="13"/>
    </w:rPr>
  </w:style>
  <w:style w:type="paragraph" w:customStyle="1" w:styleId="ListBulletLast">
    <w:name w:val="List Bullet Last"/>
    <w:basedOn w:val="ListBullet"/>
    <w:qFormat/>
    <w:rsid w:val="00146CE6"/>
    <w:pPr>
      <w:spacing w:after="240"/>
    </w:pPr>
    <w:rPr>
      <w:rFonts w:cs="Arial"/>
    </w:rPr>
  </w:style>
  <w:style w:type="paragraph" w:customStyle="1" w:styleId="ListNumberLast">
    <w:name w:val="List Number Last"/>
    <w:basedOn w:val="ListNumber"/>
    <w:semiHidden/>
    <w:qFormat/>
    <w:rsid w:val="00C16198"/>
    <w:pPr>
      <w:spacing w:after="240"/>
      <w:ind w:left="357" w:hanging="357"/>
    </w:pPr>
    <w:rPr>
      <w:rFonts w:cs="Arial"/>
    </w:rPr>
  </w:style>
  <w:style w:type="paragraph" w:customStyle="1" w:styleId="ACMATableHeader">
    <w:name w:val="ACMA_TableHeader"/>
    <w:semiHidden/>
    <w:qFormat/>
    <w:rsid w:val="003F10EE"/>
    <w:pPr>
      <w:numPr>
        <w:numId w:val="7"/>
      </w:numPr>
      <w:spacing w:after="160"/>
    </w:pPr>
    <w:rPr>
      <w:rFonts w:ascii="Arial" w:hAnsi="Arial"/>
      <w:b/>
      <w:bCs/>
      <w:color w:val="323232"/>
      <w:sz w:val="20"/>
      <w:szCs w:val="20"/>
    </w:rPr>
  </w:style>
  <w:style w:type="paragraph" w:customStyle="1" w:styleId="ACMANotes">
    <w:name w:val="ACMA_Notes"/>
    <w:semiHidden/>
    <w:rsid w:val="00FF206E"/>
    <w:pPr>
      <w:spacing w:before="80"/>
    </w:pPr>
    <w:rPr>
      <w:rFonts w:ascii="Arial" w:hAnsi="Arial" w:cs="Arial"/>
      <w:i/>
      <w:sz w:val="16"/>
    </w:rPr>
  </w:style>
  <w:style w:type="paragraph" w:customStyle="1" w:styleId="Numberlistlevel1">
    <w:name w:val="Number list level 1"/>
    <w:basedOn w:val="ListNumber"/>
    <w:uiPriority w:val="9"/>
    <w:qFormat/>
    <w:rsid w:val="004A70D6"/>
  </w:style>
  <w:style w:type="character" w:styleId="Emphasis">
    <w:name w:val="Emphasis"/>
    <w:basedOn w:val="DefaultParagraphFont"/>
    <w:semiHidden/>
    <w:qFormat/>
    <w:rsid w:val="006D576C"/>
    <w:rPr>
      <w:i/>
      <w:iCs/>
    </w:rPr>
  </w:style>
  <w:style w:type="paragraph" w:customStyle="1" w:styleId="ListNumber2Last">
    <w:name w:val="List Number 2 Last"/>
    <w:basedOn w:val="ListNumber2"/>
    <w:semiHidden/>
    <w:qFormat/>
    <w:rsid w:val="00E35707"/>
    <w:pPr>
      <w:spacing w:after="240"/>
      <w:ind w:left="907"/>
    </w:pPr>
    <w:rPr>
      <w:rFonts w:cs="Arial"/>
    </w:rPr>
  </w:style>
  <w:style w:type="paragraph" w:customStyle="1" w:styleId="Spaceaftertable">
    <w:name w:val="Space after table"/>
    <w:basedOn w:val="Normal"/>
    <w:uiPriority w:val="99"/>
    <w:qFormat/>
    <w:rsid w:val="00C2083D"/>
    <w:rPr>
      <w:rFonts w:cs="Arial"/>
    </w:rPr>
  </w:style>
  <w:style w:type="paragraph" w:customStyle="1" w:styleId="FooterLeft">
    <w:name w:val="Footer Left"/>
    <w:basedOn w:val="Footer"/>
    <w:semiHidden/>
    <w:qFormat/>
    <w:rsid w:val="00950159"/>
    <w:pPr>
      <w:framePr w:w="1440" w:h="357" w:hRule="exact" w:vSpace="425" w:wrap="around" w:vAnchor="page" w:hAnchor="page" w:x="935" w:y="15871"/>
      <w:pBdr>
        <w:top w:val="single" w:sz="4" w:space="1" w:color="auto"/>
      </w:pBdr>
    </w:pPr>
    <w:rPr>
      <w:rFonts w:cs="Arial"/>
    </w:rPr>
  </w:style>
  <w:style w:type="paragraph" w:customStyle="1" w:styleId="ACMAFigureHeader">
    <w:name w:val="ACMA_FigureHeader"/>
    <w:semiHidden/>
    <w:qFormat/>
    <w:rsid w:val="003F10EE"/>
    <w:pPr>
      <w:numPr>
        <w:numId w:val="6"/>
      </w:numPr>
      <w:spacing w:after="160"/>
    </w:pPr>
    <w:rPr>
      <w:rFonts w:ascii="Arial" w:hAnsi="Arial"/>
      <w:b/>
      <w:bCs/>
      <w:color w:val="323232"/>
      <w:sz w:val="20"/>
      <w:szCs w:val="20"/>
    </w:rPr>
  </w:style>
  <w:style w:type="paragraph" w:customStyle="1" w:styleId="Captionfigure">
    <w:name w:val="Caption figure"/>
    <w:basedOn w:val="Caption"/>
    <w:semiHidden/>
    <w:qFormat/>
    <w:rsid w:val="00E8152A"/>
    <w:pPr>
      <w:keepNext/>
      <w:numPr>
        <w:numId w:val="8"/>
      </w:numPr>
    </w:pPr>
    <w:rPr>
      <w:rFonts w:cs="Arial"/>
    </w:rPr>
  </w:style>
  <w:style w:type="paragraph" w:customStyle="1" w:styleId="GridTable31">
    <w:name w:val="Grid Table 31"/>
    <w:basedOn w:val="Normal"/>
    <w:semiHidden/>
    <w:qFormat/>
    <w:rsid w:val="00971914"/>
    <w:pPr>
      <w:spacing w:after="0" w:line="240" w:lineRule="auto"/>
    </w:pPr>
    <w:rPr>
      <w:b/>
      <w:color w:val="4D4D4F"/>
      <w:spacing w:val="-28"/>
      <w:sz w:val="53"/>
    </w:rPr>
  </w:style>
  <w:style w:type="character" w:customStyle="1" w:styleId="HeaderChar">
    <w:name w:val="Header Char"/>
    <w:link w:val="Header"/>
    <w:semiHidden/>
    <w:rsid w:val="00971914"/>
    <w:rPr>
      <w:rFonts w:ascii="Arial" w:hAnsi="Arial"/>
      <w:sz w:val="16"/>
    </w:rPr>
  </w:style>
  <w:style w:type="character" w:customStyle="1" w:styleId="Heading1Char">
    <w:name w:val="Heading 1 Char"/>
    <w:basedOn w:val="DefaultParagraphFont"/>
    <w:link w:val="Heading1"/>
    <w:uiPriority w:val="1"/>
    <w:rsid w:val="00F5310D"/>
    <w:rPr>
      <w:rFonts w:ascii="Arial" w:hAnsi="Arial" w:cs="Arial"/>
      <w:bCs/>
      <w:color w:val="323232"/>
      <w:kern w:val="32"/>
      <w:sz w:val="53"/>
      <w:szCs w:val="32"/>
    </w:rPr>
  </w:style>
  <w:style w:type="character" w:customStyle="1" w:styleId="Heading2Char">
    <w:name w:val="Heading 2 Char"/>
    <w:basedOn w:val="DefaultParagraphFont"/>
    <w:link w:val="Heading2"/>
    <w:uiPriority w:val="1"/>
    <w:rsid w:val="00800CCD"/>
    <w:rPr>
      <w:rFonts w:ascii="Arial" w:hAnsi="Arial" w:cs="Arial"/>
      <w:b/>
      <w:bCs/>
      <w:iCs/>
      <w:sz w:val="28"/>
      <w:szCs w:val="28"/>
    </w:rPr>
  </w:style>
  <w:style w:type="character" w:styleId="UnresolvedMention">
    <w:name w:val="Unresolved Mention"/>
    <w:basedOn w:val="DefaultParagraphFont"/>
    <w:uiPriority w:val="99"/>
    <w:semiHidden/>
    <w:unhideWhenUsed/>
    <w:rsid w:val="006B52DE"/>
    <w:rPr>
      <w:color w:val="605E5C"/>
      <w:shd w:val="clear" w:color="auto" w:fill="E1DFDD"/>
    </w:rPr>
  </w:style>
  <w:style w:type="character" w:customStyle="1" w:styleId="Heading3Char">
    <w:name w:val="Heading 3 Char"/>
    <w:basedOn w:val="DefaultParagraphFont"/>
    <w:link w:val="Heading3"/>
    <w:uiPriority w:val="2"/>
    <w:rsid w:val="00390D91"/>
    <w:rPr>
      <w:rFonts w:ascii="Arial" w:hAnsi="Arial" w:cs="Arial"/>
      <w:b/>
      <w:bCs/>
      <w:sz w:val="20"/>
      <w:szCs w:val="26"/>
    </w:rPr>
  </w:style>
  <w:style w:type="paragraph" w:customStyle="1" w:styleId="Paragraph">
    <w:name w:val="Paragraph"/>
    <w:basedOn w:val="Normal"/>
    <w:qFormat/>
    <w:rsid w:val="00A824E8"/>
    <w:rPr>
      <w:rFonts w:cs="Arial"/>
    </w:rPr>
  </w:style>
  <w:style w:type="paragraph" w:customStyle="1" w:styleId="Bulletlevel2">
    <w:name w:val="Bullet level 2"/>
    <w:basedOn w:val="ListBullet2"/>
    <w:uiPriority w:val="7"/>
    <w:qFormat/>
    <w:rsid w:val="00D43B47"/>
    <w:pPr>
      <w:ind w:left="590" w:hanging="295"/>
    </w:pPr>
    <w:rPr>
      <w:rFonts w:cs="Arial"/>
    </w:rPr>
  </w:style>
  <w:style w:type="paragraph" w:customStyle="1" w:styleId="Bulletlevel1last">
    <w:name w:val="Bullet level 1 last"/>
    <w:basedOn w:val="ListBulletLast"/>
    <w:uiPriority w:val="6"/>
    <w:qFormat/>
    <w:rsid w:val="00A824E8"/>
  </w:style>
  <w:style w:type="paragraph" w:customStyle="1" w:styleId="Numberlistlevel2">
    <w:name w:val="Number list level 2"/>
    <w:basedOn w:val="ListNumber2"/>
    <w:uiPriority w:val="11"/>
    <w:qFormat/>
    <w:rsid w:val="00801FEB"/>
    <w:pPr>
      <w:ind w:left="766" w:hanging="295"/>
    </w:pPr>
  </w:style>
  <w:style w:type="paragraph" w:customStyle="1" w:styleId="Numberlistlast">
    <w:name w:val="Number list last"/>
    <w:basedOn w:val="ListNumberLast"/>
    <w:uiPriority w:val="10"/>
    <w:qFormat/>
    <w:rsid w:val="004A70D6"/>
  </w:style>
  <w:style w:type="paragraph" w:customStyle="1" w:styleId="Numberlistlevel2last">
    <w:name w:val="Number list level 2 last"/>
    <w:basedOn w:val="Numberlistlevel2"/>
    <w:uiPriority w:val="12"/>
    <w:qFormat/>
    <w:rsid w:val="004A70D6"/>
    <w:pPr>
      <w:spacing w:after="240"/>
    </w:pPr>
  </w:style>
  <w:style w:type="paragraph" w:customStyle="1" w:styleId="Bulletlevel2last">
    <w:name w:val="Bullet level 2 last"/>
    <w:basedOn w:val="Bulletlevel2"/>
    <w:uiPriority w:val="8"/>
    <w:qFormat/>
    <w:rsid w:val="004A70D6"/>
    <w:pPr>
      <w:spacing w:after="240"/>
    </w:pPr>
  </w:style>
  <w:style w:type="table" w:customStyle="1" w:styleId="ACMAtablestyle">
    <w:name w:val="ACMA table style"/>
    <w:basedOn w:val="TableNormal"/>
    <w:uiPriority w:val="99"/>
    <w:rsid w:val="00F361D7"/>
    <w:rPr>
      <w:rFonts w:ascii="Arial" w:hAnsi="Arial"/>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Arial" w:hAnsi="Arial"/>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StylePr>
  </w:style>
  <w:style w:type="paragraph" w:customStyle="1" w:styleId="Tableheading">
    <w:name w:val="Table heading"/>
    <w:basedOn w:val="ACMATableHeader"/>
    <w:next w:val="Paragraph"/>
    <w:uiPriority w:val="13"/>
    <w:qFormat/>
    <w:rsid w:val="0063346D"/>
    <w:pPr>
      <w:keepNext/>
      <w:spacing w:line="240" w:lineRule="atLeast"/>
    </w:pPr>
  </w:style>
  <w:style w:type="paragraph" w:customStyle="1" w:styleId="Tableorfigurenote">
    <w:name w:val="Table or figure note"/>
    <w:basedOn w:val="ACMANotes"/>
    <w:uiPriority w:val="17"/>
    <w:qFormat/>
    <w:rsid w:val="00930510"/>
    <w:pPr>
      <w:spacing w:after="240"/>
    </w:pPr>
  </w:style>
  <w:style w:type="paragraph" w:customStyle="1" w:styleId="Figureheading">
    <w:name w:val="Figure heading"/>
    <w:basedOn w:val="ACMAFigureHeader"/>
    <w:next w:val="Paragraph"/>
    <w:uiPriority w:val="16"/>
    <w:qFormat/>
    <w:rsid w:val="0063346D"/>
    <w:pPr>
      <w:keepNext/>
      <w:spacing w:line="240" w:lineRule="atLeast"/>
    </w:pPr>
  </w:style>
  <w:style w:type="paragraph" w:customStyle="1" w:styleId="Tableorfigurenotemultiple">
    <w:name w:val="Table or figure note multiple"/>
    <w:basedOn w:val="Tableorfigurenote"/>
    <w:uiPriority w:val="18"/>
    <w:qFormat/>
    <w:rsid w:val="00930510"/>
    <w:pPr>
      <w:spacing w:after="80"/>
    </w:pPr>
  </w:style>
  <w:style w:type="paragraph" w:styleId="BalloonText">
    <w:name w:val="Balloon Text"/>
    <w:basedOn w:val="Normal"/>
    <w:link w:val="BalloonTextChar"/>
    <w:semiHidden/>
    <w:unhideWhenUsed/>
    <w:rsid w:val="00393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933E8"/>
    <w:rPr>
      <w:rFonts w:ascii="Segoe UI" w:hAnsi="Segoe UI" w:cs="Segoe UI"/>
      <w:sz w:val="18"/>
      <w:szCs w:val="18"/>
    </w:rPr>
  </w:style>
  <w:style w:type="paragraph" w:customStyle="1" w:styleId="Note">
    <w:name w:val="Note"/>
    <w:basedOn w:val="ACMANotes"/>
    <w:uiPriority w:val="23"/>
    <w:semiHidden/>
    <w:qFormat/>
    <w:rsid w:val="00D61243"/>
  </w:style>
  <w:style w:type="paragraph" w:customStyle="1" w:styleId="Protectivemarking">
    <w:name w:val="Protective marking"/>
    <w:basedOn w:val="Normal"/>
    <w:uiPriority w:val="99"/>
    <w:qFormat/>
    <w:rsid w:val="00390D91"/>
    <w:pPr>
      <w:tabs>
        <w:tab w:val="left" w:pos="720"/>
      </w:tabs>
      <w:spacing w:after="0" w:line="240" w:lineRule="auto"/>
      <w:jc w:val="center"/>
    </w:pPr>
    <w:rPr>
      <w:rFonts w:cs="Arial"/>
      <w:b/>
      <w:bCs/>
      <w:color w:val="FF0000"/>
      <w:sz w:val="32"/>
      <w:lang w:eastAsia="en-US"/>
    </w:rPr>
  </w:style>
  <w:style w:type="paragraph" w:styleId="Revision">
    <w:name w:val="Revision"/>
    <w:hidden/>
    <w:semiHidden/>
    <w:rsid w:val="00023A36"/>
    <w:rPr>
      <w:rFonts w:ascii="Arial" w:hAnsi="Arial"/>
      <w:sz w:val="20"/>
    </w:rPr>
  </w:style>
  <w:style w:type="character" w:customStyle="1" w:styleId="FootnoteTextChar">
    <w:name w:val="Footnote Text Char"/>
    <w:aliases w:val="Footnote text Char,ACMA Footnote Text Char,ABA Footnote Text Char,Footnote Text Char Char Char,ACMA Footnote Text Char Char Char,ACMA Footnote Text Char1 Char"/>
    <w:basedOn w:val="DefaultParagraphFont"/>
    <w:link w:val="FootnoteText"/>
    <w:rsid w:val="00F9706F"/>
    <w:rPr>
      <w:rFonts w:ascii="Arial" w:hAnsi="Arial"/>
      <w:sz w:val="16"/>
      <w:szCs w:val="16"/>
    </w:rPr>
  </w:style>
  <w:style w:type="character" w:customStyle="1" w:styleId="c01128">
    <w:name w:val="c01128"/>
    <w:basedOn w:val="DefaultParagraphFont"/>
    <w:rsid w:val="00502E95"/>
  </w:style>
  <w:style w:type="paragraph" w:customStyle="1" w:styleId="DotPoints">
    <w:name w:val="DotPoints"/>
    <w:basedOn w:val="ListParagraph"/>
    <w:link w:val="DotPointsChar"/>
    <w:qFormat/>
    <w:rsid w:val="00C22096"/>
    <w:pPr>
      <w:numPr>
        <w:numId w:val="19"/>
      </w:numPr>
      <w:spacing w:before="120" w:after="120" w:line="240" w:lineRule="auto"/>
      <w:contextualSpacing w:val="0"/>
    </w:pPr>
    <w:rPr>
      <w:rFonts w:asciiTheme="minorHAnsi" w:eastAsiaTheme="minorHAnsi" w:hAnsiTheme="minorHAnsi" w:cstheme="minorBidi"/>
      <w:sz w:val="22"/>
      <w:szCs w:val="22"/>
      <w:lang w:eastAsia="en-US"/>
    </w:rPr>
  </w:style>
  <w:style w:type="character" w:customStyle="1" w:styleId="DotPointsChar">
    <w:name w:val="DotPoints Char"/>
    <w:basedOn w:val="DefaultParagraphFont"/>
    <w:link w:val="DotPoints"/>
    <w:rsid w:val="00C22096"/>
    <w:rPr>
      <w:rFonts w:asciiTheme="minorHAnsi" w:eastAsiaTheme="minorHAnsi" w:hAnsiTheme="minorHAnsi" w:cstheme="minorBidi"/>
      <w:sz w:val="22"/>
      <w:szCs w:val="22"/>
      <w:lang w:eastAsia="en-US"/>
    </w:rPr>
  </w:style>
  <w:style w:type="paragraph" w:styleId="ListParagraph">
    <w:name w:val="List Paragraph"/>
    <w:basedOn w:val="Normal"/>
    <w:link w:val="ListParagraphChar"/>
    <w:uiPriority w:val="34"/>
    <w:qFormat/>
    <w:rsid w:val="00C22096"/>
    <w:pPr>
      <w:ind w:left="720"/>
      <w:contextualSpacing/>
    </w:pPr>
  </w:style>
  <w:style w:type="paragraph" w:customStyle="1" w:styleId="TableParagraph">
    <w:name w:val="Table Paragraph"/>
    <w:basedOn w:val="Normal"/>
    <w:uiPriority w:val="1"/>
    <w:qFormat/>
    <w:rsid w:val="00DA6DFD"/>
    <w:pPr>
      <w:widowControl w:val="0"/>
      <w:autoSpaceDE w:val="0"/>
      <w:autoSpaceDN w:val="0"/>
      <w:spacing w:after="0" w:line="240" w:lineRule="auto"/>
      <w:ind w:left="200"/>
    </w:pPr>
    <w:rPr>
      <w:rFonts w:eastAsia="Arial" w:cs="Arial"/>
      <w:sz w:val="22"/>
      <w:szCs w:val="22"/>
      <w:lang w:val="en-US" w:eastAsia="en-US"/>
    </w:rPr>
  </w:style>
  <w:style w:type="paragraph" w:styleId="NormalWeb">
    <w:name w:val="Normal (Web)"/>
    <w:basedOn w:val="Normal"/>
    <w:uiPriority w:val="99"/>
    <w:unhideWhenUsed/>
    <w:rsid w:val="00376B40"/>
    <w:pPr>
      <w:spacing w:before="100" w:beforeAutospacing="1" w:after="100" w:afterAutospacing="1" w:line="240" w:lineRule="auto"/>
    </w:pPr>
    <w:rPr>
      <w:rFonts w:ascii="Times New Roman" w:hAnsi="Times New Roman"/>
      <w:sz w:val="24"/>
    </w:rPr>
  </w:style>
  <w:style w:type="paragraph" w:customStyle="1" w:styleId="pf0">
    <w:name w:val="pf0"/>
    <w:basedOn w:val="Normal"/>
    <w:rsid w:val="00D80772"/>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D80772"/>
    <w:rPr>
      <w:rFonts w:ascii="Segoe UI" w:hAnsi="Segoe UI" w:cs="Segoe UI" w:hint="default"/>
      <w:sz w:val="18"/>
      <w:szCs w:val="18"/>
    </w:rPr>
  </w:style>
  <w:style w:type="character" w:customStyle="1" w:styleId="ListParagraphChar">
    <w:name w:val="List Paragraph Char"/>
    <w:basedOn w:val="DefaultParagraphFont"/>
    <w:link w:val="ListParagraph"/>
    <w:uiPriority w:val="34"/>
    <w:locked/>
    <w:rsid w:val="000C6A61"/>
    <w:rPr>
      <w:rFonts w:ascii="Arial" w:hAnsi="Arial"/>
      <w:sz w:val="20"/>
    </w:rPr>
  </w:style>
  <w:style w:type="character" w:customStyle="1" w:styleId="cf11">
    <w:name w:val="cf11"/>
    <w:basedOn w:val="DefaultParagraphFont"/>
    <w:rsid w:val="00C81A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8818">
      <w:bodyDiv w:val="1"/>
      <w:marLeft w:val="0"/>
      <w:marRight w:val="0"/>
      <w:marTop w:val="0"/>
      <w:marBottom w:val="0"/>
      <w:divBdr>
        <w:top w:val="none" w:sz="0" w:space="0" w:color="auto"/>
        <w:left w:val="none" w:sz="0" w:space="0" w:color="auto"/>
        <w:bottom w:val="none" w:sz="0" w:space="0" w:color="auto"/>
        <w:right w:val="none" w:sz="0" w:space="0" w:color="auto"/>
      </w:divBdr>
    </w:div>
    <w:div w:id="90127807">
      <w:bodyDiv w:val="1"/>
      <w:marLeft w:val="0"/>
      <w:marRight w:val="0"/>
      <w:marTop w:val="0"/>
      <w:marBottom w:val="0"/>
      <w:divBdr>
        <w:top w:val="none" w:sz="0" w:space="0" w:color="auto"/>
        <w:left w:val="none" w:sz="0" w:space="0" w:color="auto"/>
        <w:bottom w:val="none" w:sz="0" w:space="0" w:color="auto"/>
        <w:right w:val="none" w:sz="0" w:space="0" w:color="auto"/>
      </w:divBdr>
    </w:div>
    <w:div w:id="116610759">
      <w:bodyDiv w:val="1"/>
      <w:marLeft w:val="0"/>
      <w:marRight w:val="0"/>
      <w:marTop w:val="0"/>
      <w:marBottom w:val="0"/>
      <w:divBdr>
        <w:top w:val="none" w:sz="0" w:space="0" w:color="auto"/>
        <w:left w:val="none" w:sz="0" w:space="0" w:color="auto"/>
        <w:bottom w:val="none" w:sz="0" w:space="0" w:color="auto"/>
        <w:right w:val="none" w:sz="0" w:space="0" w:color="auto"/>
      </w:divBdr>
    </w:div>
    <w:div w:id="137191348">
      <w:bodyDiv w:val="1"/>
      <w:marLeft w:val="0"/>
      <w:marRight w:val="0"/>
      <w:marTop w:val="0"/>
      <w:marBottom w:val="0"/>
      <w:divBdr>
        <w:top w:val="none" w:sz="0" w:space="0" w:color="auto"/>
        <w:left w:val="none" w:sz="0" w:space="0" w:color="auto"/>
        <w:bottom w:val="none" w:sz="0" w:space="0" w:color="auto"/>
        <w:right w:val="none" w:sz="0" w:space="0" w:color="auto"/>
      </w:divBdr>
    </w:div>
    <w:div w:id="159464124">
      <w:bodyDiv w:val="1"/>
      <w:marLeft w:val="0"/>
      <w:marRight w:val="0"/>
      <w:marTop w:val="0"/>
      <w:marBottom w:val="0"/>
      <w:divBdr>
        <w:top w:val="none" w:sz="0" w:space="0" w:color="auto"/>
        <w:left w:val="none" w:sz="0" w:space="0" w:color="auto"/>
        <w:bottom w:val="none" w:sz="0" w:space="0" w:color="auto"/>
        <w:right w:val="none" w:sz="0" w:space="0" w:color="auto"/>
      </w:divBdr>
    </w:div>
    <w:div w:id="224879824">
      <w:bodyDiv w:val="1"/>
      <w:marLeft w:val="0"/>
      <w:marRight w:val="0"/>
      <w:marTop w:val="0"/>
      <w:marBottom w:val="0"/>
      <w:divBdr>
        <w:top w:val="none" w:sz="0" w:space="0" w:color="auto"/>
        <w:left w:val="none" w:sz="0" w:space="0" w:color="auto"/>
        <w:bottom w:val="none" w:sz="0" w:space="0" w:color="auto"/>
        <w:right w:val="none" w:sz="0" w:space="0" w:color="auto"/>
      </w:divBdr>
    </w:div>
    <w:div w:id="282813674">
      <w:bodyDiv w:val="1"/>
      <w:marLeft w:val="0"/>
      <w:marRight w:val="0"/>
      <w:marTop w:val="0"/>
      <w:marBottom w:val="0"/>
      <w:divBdr>
        <w:top w:val="none" w:sz="0" w:space="0" w:color="auto"/>
        <w:left w:val="none" w:sz="0" w:space="0" w:color="auto"/>
        <w:bottom w:val="none" w:sz="0" w:space="0" w:color="auto"/>
        <w:right w:val="none" w:sz="0" w:space="0" w:color="auto"/>
      </w:divBdr>
    </w:div>
    <w:div w:id="325090210">
      <w:bodyDiv w:val="1"/>
      <w:marLeft w:val="0"/>
      <w:marRight w:val="0"/>
      <w:marTop w:val="0"/>
      <w:marBottom w:val="0"/>
      <w:divBdr>
        <w:top w:val="none" w:sz="0" w:space="0" w:color="auto"/>
        <w:left w:val="none" w:sz="0" w:space="0" w:color="auto"/>
        <w:bottom w:val="none" w:sz="0" w:space="0" w:color="auto"/>
        <w:right w:val="none" w:sz="0" w:space="0" w:color="auto"/>
      </w:divBdr>
    </w:div>
    <w:div w:id="409545683">
      <w:bodyDiv w:val="1"/>
      <w:marLeft w:val="0"/>
      <w:marRight w:val="0"/>
      <w:marTop w:val="0"/>
      <w:marBottom w:val="0"/>
      <w:divBdr>
        <w:top w:val="none" w:sz="0" w:space="0" w:color="auto"/>
        <w:left w:val="none" w:sz="0" w:space="0" w:color="auto"/>
        <w:bottom w:val="none" w:sz="0" w:space="0" w:color="auto"/>
        <w:right w:val="none" w:sz="0" w:space="0" w:color="auto"/>
      </w:divBdr>
      <w:divsChild>
        <w:div w:id="626550247">
          <w:marLeft w:val="0"/>
          <w:marRight w:val="0"/>
          <w:marTop w:val="0"/>
          <w:marBottom w:val="0"/>
          <w:divBdr>
            <w:top w:val="none" w:sz="0" w:space="0" w:color="auto"/>
            <w:left w:val="none" w:sz="0" w:space="0" w:color="auto"/>
            <w:bottom w:val="none" w:sz="0" w:space="0" w:color="auto"/>
            <w:right w:val="none" w:sz="0" w:space="0" w:color="auto"/>
          </w:divBdr>
          <w:divsChild>
            <w:div w:id="1422793147">
              <w:marLeft w:val="0"/>
              <w:marRight w:val="0"/>
              <w:marTop w:val="0"/>
              <w:marBottom w:val="0"/>
              <w:divBdr>
                <w:top w:val="none" w:sz="0" w:space="0" w:color="auto"/>
                <w:left w:val="none" w:sz="0" w:space="0" w:color="auto"/>
                <w:bottom w:val="none" w:sz="0" w:space="0" w:color="auto"/>
                <w:right w:val="none" w:sz="0" w:space="0" w:color="auto"/>
              </w:divBdr>
              <w:divsChild>
                <w:div w:id="2145853741">
                  <w:marLeft w:val="0"/>
                  <w:marRight w:val="0"/>
                  <w:marTop w:val="0"/>
                  <w:marBottom w:val="0"/>
                  <w:divBdr>
                    <w:top w:val="none" w:sz="0" w:space="0" w:color="auto"/>
                    <w:left w:val="none" w:sz="0" w:space="0" w:color="auto"/>
                    <w:bottom w:val="none" w:sz="0" w:space="0" w:color="auto"/>
                    <w:right w:val="none" w:sz="0" w:space="0" w:color="auto"/>
                  </w:divBdr>
                  <w:divsChild>
                    <w:div w:id="1168058878">
                      <w:marLeft w:val="0"/>
                      <w:marRight w:val="0"/>
                      <w:marTop w:val="0"/>
                      <w:marBottom w:val="0"/>
                      <w:divBdr>
                        <w:top w:val="none" w:sz="0" w:space="0" w:color="auto"/>
                        <w:left w:val="none" w:sz="0" w:space="0" w:color="auto"/>
                        <w:bottom w:val="single" w:sz="6" w:space="0" w:color="B6B6B6"/>
                        <w:right w:val="none" w:sz="0" w:space="0" w:color="auto"/>
                      </w:divBdr>
                      <w:divsChild>
                        <w:div w:id="1476145888">
                          <w:marLeft w:val="180"/>
                          <w:marRight w:val="0"/>
                          <w:marTop w:val="0"/>
                          <w:marBottom w:val="0"/>
                          <w:divBdr>
                            <w:top w:val="none" w:sz="0" w:space="0" w:color="auto"/>
                            <w:left w:val="none" w:sz="0" w:space="0" w:color="auto"/>
                            <w:bottom w:val="none" w:sz="0" w:space="0" w:color="auto"/>
                            <w:right w:val="none" w:sz="0" w:space="0" w:color="auto"/>
                          </w:divBdr>
                          <w:divsChild>
                            <w:div w:id="394544909">
                              <w:marLeft w:val="0"/>
                              <w:marRight w:val="0"/>
                              <w:marTop w:val="0"/>
                              <w:marBottom w:val="0"/>
                              <w:divBdr>
                                <w:top w:val="none" w:sz="0" w:space="0" w:color="auto"/>
                                <w:left w:val="none" w:sz="0" w:space="0" w:color="auto"/>
                                <w:bottom w:val="none" w:sz="0" w:space="0" w:color="auto"/>
                                <w:right w:val="none" w:sz="0" w:space="0" w:color="auto"/>
                              </w:divBdr>
                              <w:divsChild>
                                <w:div w:id="1214348531">
                                  <w:marLeft w:val="0"/>
                                  <w:marRight w:val="0"/>
                                  <w:marTop w:val="0"/>
                                  <w:marBottom w:val="0"/>
                                  <w:divBdr>
                                    <w:top w:val="none" w:sz="0" w:space="0" w:color="auto"/>
                                    <w:left w:val="none" w:sz="0" w:space="0" w:color="auto"/>
                                    <w:bottom w:val="none" w:sz="0" w:space="0" w:color="auto"/>
                                    <w:right w:val="none" w:sz="0" w:space="0" w:color="auto"/>
                                  </w:divBdr>
                                </w:div>
                                <w:div w:id="19500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783605">
      <w:bodyDiv w:val="1"/>
      <w:marLeft w:val="0"/>
      <w:marRight w:val="0"/>
      <w:marTop w:val="0"/>
      <w:marBottom w:val="0"/>
      <w:divBdr>
        <w:top w:val="none" w:sz="0" w:space="0" w:color="auto"/>
        <w:left w:val="none" w:sz="0" w:space="0" w:color="auto"/>
        <w:bottom w:val="none" w:sz="0" w:space="0" w:color="auto"/>
        <w:right w:val="none" w:sz="0" w:space="0" w:color="auto"/>
      </w:divBdr>
    </w:div>
    <w:div w:id="576784553">
      <w:bodyDiv w:val="1"/>
      <w:marLeft w:val="0"/>
      <w:marRight w:val="0"/>
      <w:marTop w:val="0"/>
      <w:marBottom w:val="0"/>
      <w:divBdr>
        <w:top w:val="none" w:sz="0" w:space="0" w:color="auto"/>
        <w:left w:val="none" w:sz="0" w:space="0" w:color="auto"/>
        <w:bottom w:val="none" w:sz="0" w:space="0" w:color="auto"/>
        <w:right w:val="none" w:sz="0" w:space="0" w:color="auto"/>
      </w:divBdr>
    </w:div>
    <w:div w:id="617369897">
      <w:bodyDiv w:val="1"/>
      <w:marLeft w:val="0"/>
      <w:marRight w:val="0"/>
      <w:marTop w:val="0"/>
      <w:marBottom w:val="0"/>
      <w:divBdr>
        <w:top w:val="none" w:sz="0" w:space="0" w:color="auto"/>
        <w:left w:val="none" w:sz="0" w:space="0" w:color="auto"/>
        <w:bottom w:val="none" w:sz="0" w:space="0" w:color="auto"/>
        <w:right w:val="none" w:sz="0" w:space="0" w:color="auto"/>
      </w:divBdr>
    </w:div>
    <w:div w:id="682558274">
      <w:bodyDiv w:val="1"/>
      <w:marLeft w:val="0"/>
      <w:marRight w:val="0"/>
      <w:marTop w:val="0"/>
      <w:marBottom w:val="0"/>
      <w:divBdr>
        <w:top w:val="none" w:sz="0" w:space="0" w:color="auto"/>
        <w:left w:val="none" w:sz="0" w:space="0" w:color="auto"/>
        <w:bottom w:val="none" w:sz="0" w:space="0" w:color="auto"/>
        <w:right w:val="none" w:sz="0" w:space="0" w:color="auto"/>
      </w:divBdr>
    </w:div>
    <w:div w:id="775910512">
      <w:bodyDiv w:val="1"/>
      <w:marLeft w:val="0"/>
      <w:marRight w:val="0"/>
      <w:marTop w:val="0"/>
      <w:marBottom w:val="0"/>
      <w:divBdr>
        <w:top w:val="none" w:sz="0" w:space="0" w:color="auto"/>
        <w:left w:val="none" w:sz="0" w:space="0" w:color="auto"/>
        <w:bottom w:val="none" w:sz="0" w:space="0" w:color="auto"/>
        <w:right w:val="none" w:sz="0" w:space="0" w:color="auto"/>
      </w:divBdr>
    </w:div>
    <w:div w:id="959726985">
      <w:bodyDiv w:val="1"/>
      <w:marLeft w:val="0"/>
      <w:marRight w:val="0"/>
      <w:marTop w:val="0"/>
      <w:marBottom w:val="0"/>
      <w:divBdr>
        <w:top w:val="none" w:sz="0" w:space="0" w:color="auto"/>
        <w:left w:val="none" w:sz="0" w:space="0" w:color="auto"/>
        <w:bottom w:val="none" w:sz="0" w:space="0" w:color="auto"/>
        <w:right w:val="none" w:sz="0" w:space="0" w:color="auto"/>
      </w:divBdr>
    </w:div>
    <w:div w:id="1034114584">
      <w:bodyDiv w:val="1"/>
      <w:marLeft w:val="0"/>
      <w:marRight w:val="0"/>
      <w:marTop w:val="0"/>
      <w:marBottom w:val="0"/>
      <w:divBdr>
        <w:top w:val="none" w:sz="0" w:space="0" w:color="auto"/>
        <w:left w:val="none" w:sz="0" w:space="0" w:color="auto"/>
        <w:bottom w:val="none" w:sz="0" w:space="0" w:color="auto"/>
        <w:right w:val="none" w:sz="0" w:space="0" w:color="auto"/>
      </w:divBdr>
    </w:div>
    <w:div w:id="1108162699">
      <w:bodyDiv w:val="1"/>
      <w:marLeft w:val="0"/>
      <w:marRight w:val="0"/>
      <w:marTop w:val="0"/>
      <w:marBottom w:val="0"/>
      <w:divBdr>
        <w:top w:val="none" w:sz="0" w:space="0" w:color="auto"/>
        <w:left w:val="none" w:sz="0" w:space="0" w:color="auto"/>
        <w:bottom w:val="none" w:sz="0" w:space="0" w:color="auto"/>
        <w:right w:val="none" w:sz="0" w:space="0" w:color="auto"/>
      </w:divBdr>
    </w:div>
    <w:div w:id="1151944607">
      <w:bodyDiv w:val="1"/>
      <w:marLeft w:val="0"/>
      <w:marRight w:val="0"/>
      <w:marTop w:val="0"/>
      <w:marBottom w:val="0"/>
      <w:divBdr>
        <w:top w:val="none" w:sz="0" w:space="0" w:color="auto"/>
        <w:left w:val="none" w:sz="0" w:space="0" w:color="auto"/>
        <w:bottom w:val="none" w:sz="0" w:space="0" w:color="auto"/>
        <w:right w:val="none" w:sz="0" w:space="0" w:color="auto"/>
      </w:divBdr>
    </w:div>
    <w:div w:id="1164471354">
      <w:bodyDiv w:val="1"/>
      <w:marLeft w:val="0"/>
      <w:marRight w:val="0"/>
      <w:marTop w:val="0"/>
      <w:marBottom w:val="0"/>
      <w:divBdr>
        <w:top w:val="none" w:sz="0" w:space="0" w:color="auto"/>
        <w:left w:val="none" w:sz="0" w:space="0" w:color="auto"/>
        <w:bottom w:val="none" w:sz="0" w:space="0" w:color="auto"/>
        <w:right w:val="none" w:sz="0" w:space="0" w:color="auto"/>
      </w:divBdr>
    </w:div>
    <w:div w:id="1223174895">
      <w:bodyDiv w:val="1"/>
      <w:marLeft w:val="0"/>
      <w:marRight w:val="0"/>
      <w:marTop w:val="0"/>
      <w:marBottom w:val="0"/>
      <w:divBdr>
        <w:top w:val="none" w:sz="0" w:space="0" w:color="auto"/>
        <w:left w:val="none" w:sz="0" w:space="0" w:color="auto"/>
        <w:bottom w:val="none" w:sz="0" w:space="0" w:color="auto"/>
        <w:right w:val="none" w:sz="0" w:space="0" w:color="auto"/>
      </w:divBdr>
    </w:div>
    <w:div w:id="1335184301">
      <w:bodyDiv w:val="1"/>
      <w:marLeft w:val="0"/>
      <w:marRight w:val="0"/>
      <w:marTop w:val="0"/>
      <w:marBottom w:val="0"/>
      <w:divBdr>
        <w:top w:val="none" w:sz="0" w:space="0" w:color="auto"/>
        <w:left w:val="none" w:sz="0" w:space="0" w:color="auto"/>
        <w:bottom w:val="none" w:sz="0" w:space="0" w:color="auto"/>
        <w:right w:val="none" w:sz="0" w:space="0" w:color="auto"/>
      </w:divBdr>
    </w:div>
    <w:div w:id="1339041958">
      <w:bodyDiv w:val="1"/>
      <w:marLeft w:val="0"/>
      <w:marRight w:val="0"/>
      <w:marTop w:val="0"/>
      <w:marBottom w:val="0"/>
      <w:divBdr>
        <w:top w:val="none" w:sz="0" w:space="0" w:color="auto"/>
        <w:left w:val="none" w:sz="0" w:space="0" w:color="auto"/>
        <w:bottom w:val="none" w:sz="0" w:space="0" w:color="auto"/>
        <w:right w:val="none" w:sz="0" w:space="0" w:color="auto"/>
      </w:divBdr>
    </w:div>
    <w:div w:id="1409771268">
      <w:bodyDiv w:val="1"/>
      <w:marLeft w:val="0"/>
      <w:marRight w:val="0"/>
      <w:marTop w:val="0"/>
      <w:marBottom w:val="0"/>
      <w:divBdr>
        <w:top w:val="none" w:sz="0" w:space="0" w:color="auto"/>
        <w:left w:val="none" w:sz="0" w:space="0" w:color="auto"/>
        <w:bottom w:val="none" w:sz="0" w:space="0" w:color="auto"/>
        <w:right w:val="none" w:sz="0" w:space="0" w:color="auto"/>
      </w:divBdr>
    </w:div>
    <w:div w:id="1552425696">
      <w:bodyDiv w:val="1"/>
      <w:marLeft w:val="0"/>
      <w:marRight w:val="0"/>
      <w:marTop w:val="0"/>
      <w:marBottom w:val="0"/>
      <w:divBdr>
        <w:top w:val="none" w:sz="0" w:space="0" w:color="auto"/>
        <w:left w:val="none" w:sz="0" w:space="0" w:color="auto"/>
        <w:bottom w:val="none" w:sz="0" w:space="0" w:color="auto"/>
        <w:right w:val="none" w:sz="0" w:space="0" w:color="auto"/>
      </w:divBdr>
    </w:div>
    <w:div w:id="1552768974">
      <w:bodyDiv w:val="1"/>
      <w:marLeft w:val="0"/>
      <w:marRight w:val="0"/>
      <w:marTop w:val="0"/>
      <w:marBottom w:val="0"/>
      <w:divBdr>
        <w:top w:val="none" w:sz="0" w:space="0" w:color="auto"/>
        <w:left w:val="none" w:sz="0" w:space="0" w:color="auto"/>
        <w:bottom w:val="none" w:sz="0" w:space="0" w:color="auto"/>
        <w:right w:val="none" w:sz="0" w:space="0" w:color="auto"/>
      </w:divBdr>
    </w:div>
    <w:div w:id="1562640585">
      <w:bodyDiv w:val="1"/>
      <w:marLeft w:val="0"/>
      <w:marRight w:val="0"/>
      <w:marTop w:val="0"/>
      <w:marBottom w:val="0"/>
      <w:divBdr>
        <w:top w:val="none" w:sz="0" w:space="0" w:color="auto"/>
        <w:left w:val="none" w:sz="0" w:space="0" w:color="auto"/>
        <w:bottom w:val="none" w:sz="0" w:space="0" w:color="auto"/>
        <w:right w:val="none" w:sz="0" w:space="0" w:color="auto"/>
      </w:divBdr>
    </w:div>
    <w:div w:id="1566910818">
      <w:bodyDiv w:val="1"/>
      <w:marLeft w:val="0"/>
      <w:marRight w:val="0"/>
      <w:marTop w:val="0"/>
      <w:marBottom w:val="0"/>
      <w:divBdr>
        <w:top w:val="none" w:sz="0" w:space="0" w:color="auto"/>
        <w:left w:val="none" w:sz="0" w:space="0" w:color="auto"/>
        <w:bottom w:val="none" w:sz="0" w:space="0" w:color="auto"/>
        <w:right w:val="none" w:sz="0" w:space="0" w:color="auto"/>
      </w:divBdr>
    </w:div>
    <w:div w:id="1585064089">
      <w:bodyDiv w:val="1"/>
      <w:marLeft w:val="0"/>
      <w:marRight w:val="0"/>
      <w:marTop w:val="0"/>
      <w:marBottom w:val="0"/>
      <w:divBdr>
        <w:top w:val="none" w:sz="0" w:space="0" w:color="auto"/>
        <w:left w:val="none" w:sz="0" w:space="0" w:color="auto"/>
        <w:bottom w:val="none" w:sz="0" w:space="0" w:color="auto"/>
        <w:right w:val="none" w:sz="0" w:space="0" w:color="auto"/>
      </w:divBdr>
    </w:div>
    <w:div w:id="1660768176">
      <w:bodyDiv w:val="1"/>
      <w:marLeft w:val="0"/>
      <w:marRight w:val="0"/>
      <w:marTop w:val="0"/>
      <w:marBottom w:val="0"/>
      <w:divBdr>
        <w:top w:val="none" w:sz="0" w:space="0" w:color="auto"/>
        <w:left w:val="none" w:sz="0" w:space="0" w:color="auto"/>
        <w:bottom w:val="none" w:sz="0" w:space="0" w:color="auto"/>
        <w:right w:val="none" w:sz="0" w:space="0" w:color="auto"/>
      </w:divBdr>
    </w:div>
    <w:div w:id="1691182345">
      <w:bodyDiv w:val="1"/>
      <w:marLeft w:val="0"/>
      <w:marRight w:val="0"/>
      <w:marTop w:val="0"/>
      <w:marBottom w:val="0"/>
      <w:divBdr>
        <w:top w:val="none" w:sz="0" w:space="0" w:color="auto"/>
        <w:left w:val="none" w:sz="0" w:space="0" w:color="auto"/>
        <w:bottom w:val="none" w:sz="0" w:space="0" w:color="auto"/>
        <w:right w:val="none" w:sz="0" w:space="0" w:color="auto"/>
      </w:divBdr>
    </w:div>
    <w:div w:id="1716150102">
      <w:bodyDiv w:val="1"/>
      <w:marLeft w:val="0"/>
      <w:marRight w:val="0"/>
      <w:marTop w:val="0"/>
      <w:marBottom w:val="0"/>
      <w:divBdr>
        <w:top w:val="none" w:sz="0" w:space="0" w:color="auto"/>
        <w:left w:val="none" w:sz="0" w:space="0" w:color="auto"/>
        <w:bottom w:val="none" w:sz="0" w:space="0" w:color="auto"/>
        <w:right w:val="none" w:sz="0" w:space="0" w:color="auto"/>
      </w:divBdr>
    </w:div>
    <w:div w:id="1758093418">
      <w:bodyDiv w:val="1"/>
      <w:marLeft w:val="0"/>
      <w:marRight w:val="0"/>
      <w:marTop w:val="0"/>
      <w:marBottom w:val="0"/>
      <w:divBdr>
        <w:top w:val="none" w:sz="0" w:space="0" w:color="auto"/>
        <w:left w:val="none" w:sz="0" w:space="0" w:color="auto"/>
        <w:bottom w:val="none" w:sz="0" w:space="0" w:color="auto"/>
        <w:right w:val="none" w:sz="0" w:space="0" w:color="auto"/>
      </w:divBdr>
    </w:div>
    <w:div w:id="1764033173">
      <w:bodyDiv w:val="1"/>
      <w:marLeft w:val="0"/>
      <w:marRight w:val="0"/>
      <w:marTop w:val="0"/>
      <w:marBottom w:val="0"/>
      <w:divBdr>
        <w:top w:val="none" w:sz="0" w:space="0" w:color="auto"/>
        <w:left w:val="none" w:sz="0" w:space="0" w:color="auto"/>
        <w:bottom w:val="none" w:sz="0" w:space="0" w:color="auto"/>
        <w:right w:val="none" w:sz="0" w:space="0" w:color="auto"/>
      </w:divBdr>
    </w:div>
    <w:div w:id="1795638581">
      <w:bodyDiv w:val="1"/>
      <w:marLeft w:val="0"/>
      <w:marRight w:val="0"/>
      <w:marTop w:val="0"/>
      <w:marBottom w:val="0"/>
      <w:divBdr>
        <w:top w:val="none" w:sz="0" w:space="0" w:color="auto"/>
        <w:left w:val="none" w:sz="0" w:space="0" w:color="auto"/>
        <w:bottom w:val="none" w:sz="0" w:space="0" w:color="auto"/>
        <w:right w:val="none" w:sz="0" w:space="0" w:color="auto"/>
      </w:divBdr>
    </w:div>
    <w:div w:id="1797487831">
      <w:bodyDiv w:val="1"/>
      <w:marLeft w:val="0"/>
      <w:marRight w:val="0"/>
      <w:marTop w:val="0"/>
      <w:marBottom w:val="0"/>
      <w:divBdr>
        <w:top w:val="none" w:sz="0" w:space="0" w:color="auto"/>
        <w:left w:val="none" w:sz="0" w:space="0" w:color="auto"/>
        <w:bottom w:val="none" w:sz="0" w:space="0" w:color="auto"/>
        <w:right w:val="none" w:sz="0" w:space="0" w:color="auto"/>
      </w:divBdr>
    </w:div>
    <w:div w:id="1881744039">
      <w:bodyDiv w:val="1"/>
      <w:marLeft w:val="0"/>
      <w:marRight w:val="0"/>
      <w:marTop w:val="0"/>
      <w:marBottom w:val="0"/>
      <w:divBdr>
        <w:top w:val="none" w:sz="0" w:space="0" w:color="auto"/>
        <w:left w:val="none" w:sz="0" w:space="0" w:color="auto"/>
        <w:bottom w:val="none" w:sz="0" w:space="0" w:color="auto"/>
        <w:right w:val="none" w:sz="0" w:space="0" w:color="auto"/>
      </w:divBdr>
    </w:div>
    <w:div w:id="1901481565">
      <w:bodyDiv w:val="1"/>
      <w:marLeft w:val="0"/>
      <w:marRight w:val="0"/>
      <w:marTop w:val="0"/>
      <w:marBottom w:val="0"/>
      <w:divBdr>
        <w:top w:val="none" w:sz="0" w:space="0" w:color="auto"/>
        <w:left w:val="none" w:sz="0" w:space="0" w:color="auto"/>
        <w:bottom w:val="none" w:sz="0" w:space="0" w:color="auto"/>
        <w:right w:val="none" w:sz="0" w:space="0" w:color="auto"/>
      </w:divBdr>
      <w:divsChild>
        <w:div w:id="769857907">
          <w:marLeft w:val="0"/>
          <w:marRight w:val="0"/>
          <w:marTop w:val="0"/>
          <w:marBottom w:val="0"/>
          <w:divBdr>
            <w:top w:val="none" w:sz="0" w:space="0" w:color="auto"/>
            <w:left w:val="none" w:sz="0" w:space="0" w:color="auto"/>
            <w:bottom w:val="none" w:sz="0" w:space="0" w:color="auto"/>
            <w:right w:val="none" w:sz="0" w:space="0" w:color="auto"/>
          </w:divBdr>
          <w:divsChild>
            <w:div w:id="13650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2315">
      <w:bodyDiv w:val="1"/>
      <w:marLeft w:val="0"/>
      <w:marRight w:val="0"/>
      <w:marTop w:val="0"/>
      <w:marBottom w:val="0"/>
      <w:divBdr>
        <w:top w:val="none" w:sz="0" w:space="0" w:color="auto"/>
        <w:left w:val="none" w:sz="0" w:space="0" w:color="auto"/>
        <w:bottom w:val="none" w:sz="0" w:space="0" w:color="auto"/>
        <w:right w:val="none" w:sz="0" w:space="0" w:color="auto"/>
      </w:divBdr>
    </w:div>
    <w:div w:id="200543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footer" Target="footer3.xml"/><Relationship Id="rId26" Type="http://schemas.openxmlformats.org/officeDocument/2006/relationships/hyperlink" Target="https://www.acma.gov.au/broadcast-planning-resources" TargetMode="External"/><Relationship Id="rId39" Type="http://schemas.openxmlformats.org/officeDocument/2006/relationships/image" Target="media/image9.png"/><Relationship Id="rId21" Type="http://schemas.openxmlformats.org/officeDocument/2006/relationships/footer" Target="footer4.xml"/><Relationship Id="rId34" Type="http://schemas.openxmlformats.org/officeDocument/2006/relationships/image" Target="media/image4.png"/><Relationship Id="rId42"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www.acma.gov.au/broadcast-planning-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reativecommons.org/l/by/3.0/88x31.png" TargetMode="External"/><Relationship Id="rId24" Type="http://schemas.openxmlformats.org/officeDocument/2006/relationships/hyperlink" Target="https://www.acma.gov.au/publications/2017-11/guide/am-fm-conversion-and-requests-fm-fill-transmitters" TargetMode="External"/><Relationship Id="rId32" Type="http://schemas.openxmlformats.org/officeDocument/2006/relationships/hyperlink" Target="https://www.acma.gov.au/broadcast-planning-resources" TargetMode="Externa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hyperlink" Target="https://www.acma.gov.au/broadcast-planning-resources" TargetMode="External"/><Relationship Id="rId36"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https://www.acma.gov.au/broadcast-planning-resources" TargetMode="External"/><Relationship Id="rId4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acma.gov.au" TargetMode="External"/><Relationship Id="rId22" Type="http://schemas.openxmlformats.org/officeDocument/2006/relationships/footer" Target="footer5.xml"/><Relationship Id="rId27" Type="http://schemas.openxmlformats.org/officeDocument/2006/relationships/hyperlink" Target="https://www.acma.gov.au/publications/2019-11/form/form-b92-request-vary-licence-area-plan-radio" TargetMode="External"/><Relationship Id="rId30" Type="http://schemas.openxmlformats.org/officeDocument/2006/relationships/hyperlink" Target="https://www.acma.gov.au/publications/2020-03/report/future-delivery-radio" TargetMode="External"/><Relationship Id="rId35" Type="http://schemas.openxmlformats.org/officeDocument/2006/relationships/image" Target="media/image5.png"/><Relationship Id="rId43"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hyperlink" Target="https://www.acma.gov.au/publications/2020-03/report/future-delivery-radio" TargetMode="External"/><Relationship Id="rId33" Type="http://schemas.openxmlformats.org/officeDocument/2006/relationships/hyperlink" Target="https://www.acma.gov.au/broadcast-planning-resources" TargetMode="External"/><Relationship Id="rId38" Type="http://schemas.openxmlformats.org/officeDocument/2006/relationships/image" Target="media/image8.png"/><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7.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acma.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Broadcast_range" TargetMode="External"/><Relationship Id="rId2" Type="http://schemas.openxmlformats.org/officeDocument/2006/relationships/hyperlink" Target="https://en.wikipedia.org/wiki/Transponder" TargetMode="External"/><Relationship Id="rId1" Type="http://schemas.openxmlformats.org/officeDocument/2006/relationships/hyperlink" Target="https://www.acma.gov.au/consultations/2021-04/fm-broadcasting-services-band-perth-ra1-licence-area-consultation-17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F8262-1C21-46BC-9DE5-9254E2AB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6920</Words>
  <Characters>39445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2022-09-08T06:19:00Z</dcterms:created>
  <dcterms:modified xsi:type="dcterms:W3CDTF">2022-09-08T06:50:00Z</dcterms:modified>
  <cp:category/>
</cp:coreProperties>
</file>